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A6C11" w14:textId="77777777" w:rsidR="006525BC" w:rsidRDefault="006525BC">
      <w:pPr>
        <w:pStyle w:val="CuerpoA"/>
        <w:jc w:val="center"/>
        <w:rPr>
          <w:b/>
          <w:bCs/>
          <w:lang w:val="en-US"/>
        </w:rPr>
      </w:pPr>
    </w:p>
    <w:p w14:paraId="5B309739" w14:textId="77777777" w:rsidR="006525BC" w:rsidRDefault="006525BC">
      <w:pPr>
        <w:pStyle w:val="CuerpoA"/>
        <w:jc w:val="center"/>
        <w:rPr>
          <w:b/>
          <w:bCs/>
          <w:lang w:val="en-US"/>
        </w:rPr>
      </w:pPr>
    </w:p>
    <w:p w14:paraId="722657BF" w14:textId="0C334BDA" w:rsidR="006525BC" w:rsidRDefault="00573C2C">
      <w:pPr>
        <w:pStyle w:val="CuerpoA"/>
        <w:jc w:val="center"/>
        <w:rPr>
          <w:rStyle w:val="Ninguno"/>
          <w:b/>
          <w:bCs/>
          <w:sz w:val="28"/>
          <w:szCs w:val="28"/>
          <w:lang w:val="en-US"/>
        </w:rPr>
      </w:pPr>
      <w:r>
        <w:rPr>
          <w:b/>
          <w:bCs/>
          <w:sz w:val="28"/>
          <w:szCs w:val="28"/>
          <w:lang w:val="en-US"/>
        </w:rPr>
        <w:t xml:space="preserve">RESOURCES – LEGAL FRAMEWORK FOR TRAINING OF ADULTS </w:t>
      </w:r>
      <w:r w:rsidR="009119F7">
        <w:rPr>
          <w:b/>
          <w:bCs/>
          <w:sz w:val="28"/>
          <w:szCs w:val="28"/>
          <w:lang w:val="en-US"/>
        </w:rPr>
        <w:t xml:space="preserve">IN </w:t>
      </w:r>
      <w:r>
        <w:rPr>
          <w:b/>
          <w:bCs/>
          <w:sz w:val="28"/>
          <w:szCs w:val="28"/>
          <w:lang w:val="en-US"/>
        </w:rPr>
        <w:t xml:space="preserve">PARTICIPATING </w:t>
      </w:r>
      <w:r w:rsidR="00FB6167">
        <w:rPr>
          <w:b/>
          <w:bCs/>
          <w:sz w:val="28"/>
          <w:szCs w:val="28"/>
          <w:lang w:val="en-US"/>
        </w:rPr>
        <w:t>EU COUNTRIES</w:t>
      </w:r>
    </w:p>
    <w:p w14:paraId="440125C2" w14:textId="77777777" w:rsidR="006525BC" w:rsidRDefault="006525BC">
      <w:pPr>
        <w:pStyle w:val="CuerpoA"/>
        <w:rPr>
          <w:sz w:val="20"/>
          <w:szCs w:val="20"/>
          <w:lang w:val="en-US"/>
        </w:rPr>
      </w:pPr>
    </w:p>
    <w:p w14:paraId="7B12688D" w14:textId="77777777" w:rsidR="006525BC" w:rsidRDefault="006525BC">
      <w:pPr>
        <w:pStyle w:val="CuerpoA"/>
        <w:rPr>
          <w:sz w:val="20"/>
          <w:szCs w:val="20"/>
          <w:lang w:val="en-US"/>
        </w:rPr>
      </w:pPr>
    </w:p>
    <w:p w14:paraId="0C41EAB4" w14:textId="77777777" w:rsidR="006525BC" w:rsidRDefault="00FB6167">
      <w:pPr>
        <w:pStyle w:val="PoromisinA"/>
        <w:jc w:val="center"/>
        <w:rPr>
          <w:rStyle w:val="Ninguno"/>
          <w:b/>
          <w:bCs/>
          <w:sz w:val="28"/>
          <w:szCs w:val="28"/>
          <w:lang w:val="pt-PT"/>
        </w:rPr>
      </w:pPr>
      <w:r>
        <w:rPr>
          <w:rStyle w:val="Ninguno"/>
          <w:b/>
          <w:bCs/>
          <w:sz w:val="24"/>
          <w:szCs w:val="24"/>
          <w:lang w:val="pt-PT"/>
        </w:rPr>
        <w:t xml:space="preserve">TEMPLATE </w:t>
      </w:r>
    </w:p>
    <w:p w14:paraId="57D5AA12" w14:textId="77777777" w:rsidR="006525BC" w:rsidRDefault="006525BC">
      <w:pPr>
        <w:pStyle w:val="CuerpoA"/>
        <w:rPr>
          <w:lang w:val="en-US"/>
        </w:rPr>
      </w:pPr>
    </w:p>
    <w:tbl>
      <w:tblPr>
        <w:tblStyle w:val="TableNormal1"/>
        <w:tblW w:w="83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23"/>
        <w:gridCol w:w="5057"/>
      </w:tblGrid>
      <w:tr w:rsidR="006525BC" w14:paraId="33DD08F6" w14:textId="77777777" w:rsidTr="00140225">
        <w:trPr>
          <w:trHeight w:val="57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A5499" w14:textId="1E051872" w:rsidR="006525BC" w:rsidRDefault="00573C2C" w:rsidP="00573C2C">
            <w:pPr>
              <w:pStyle w:val="CuerpoA"/>
              <w:widowControl w:val="0"/>
            </w:pPr>
            <w:r>
              <w:rPr>
                <w:rStyle w:val="NingunoA"/>
                <w:b/>
                <w:bCs/>
                <w:sz w:val="24"/>
                <w:szCs w:val="24"/>
              </w:rPr>
              <w:t>EU COUNTRY OF PARTNER</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C462D" w14:textId="40576782" w:rsidR="006525BC" w:rsidRDefault="00510FE7">
            <w:r>
              <w:t>Belgium</w:t>
            </w:r>
          </w:p>
        </w:tc>
      </w:tr>
      <w:tr w:rsidR="006525BC" w14:paraId="3882CC8A" w14:textId="77777777" w:rsidTr="00140225">
        <w:trPr>
          <w:trHeight w:val="49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D8C53" w14:textId="21E67BCE" w:rsidR="006525BC" w:rsidRDefault="00212FCF">
            <w:pPr>
              <w:suppressAutoHyphens/>
              <w:spacing w:after="0" w:line="240" w:lineRule="auto"/>
              <w:outlineLvl w:val="0"/>
            </w:pPr>
            <w:r>
              <w:rPr>
                <w:rFonts w:ascii="Helvetica" w:eastAsia="Cambria" w:hAnsi="Helvetica" w:cs="Cambria"/>
                <w:b/>
                <w:bCs/>
                <w:sz w:val="20"/>
                <w:szCs w:val="20"/>
              </w:rPr>
              <w:t xml:space="preserve">Language </w:t>
            </w:r>
            <w:r w:rsidR="00E7027A">
              <w:rPr>
                <w:rFonts w:ascii="Helvetica" w:eastAsia="Cambria" w:hAnsi="Helvetica" w:cs="Cambria"/>
                <w:b/>
                <w:bCs/>
                <w:sz w:val="20"/>
                <w:szCs w:val="20"/>
              </w:rPr>
              <w:t>of partner</w:t>
            </w:r>
          </w:p>
          <w:p w14:paraId="39ED2684" w14:textId="77777777" w:rsidR="006525BC" w:rsidRDefault="006525BC">
            <w:pPr>
              <w:suppressAutoHyphens/>
              <w:spacing w:after="0" w:line="240" w:lineRule="auto"/>
              <w:outlineLvl w:val="0"/>
            </w:pP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B720A" w14:textId="712CBA33" w:rsidR="006525BC" w:rsidRDefault="00510FE7">
            <w:r>
              <w:t>Dutch</w:t>
            </w:r>
          </w:p>
        </w:tc>
      </w:tr>
      <w:tr w:rsidR="002618FD" w14:paraId="103A8A45" w14:textId="77777777" w:rsidTr="00140225">
        <w:trPr>
          <w:trHeight w:val="49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4D20C" w14:textId="19E75AA7" w:rsidR="002618FD" w:rsidRDefault="00573C2C" w:rsidP="00573C2C">
            <w:pPr>
              <w:pStyle w:val="Cuerpo"/>
              <w:suppressAutoHyphens/>
              <w:spacing w:after="0" w:line="240" w:lineRule="auto"/>
              <w:outlineLvl w:val="0"/>
              <w:rPr>
                <w:rStyle w:val="Ninguno"/>
                <w:rFonts w:ascii="Helvetica" w:hAnsi="Helvetica"/>
                <w:b/>
                <w:bCs/>
                <w:sz w:val="20"/>
                <w:szCs w:val="20"/>
              </w:rPr>
            </w:pPr>
            <w:r>
              <w:rPr>
                <w:rStyle w:val="Ninguno"/>
                <w:rFonts w:ascii="Helvetica" w:hAnsi="Helvetica"/>
                <w:b/>
                <w:bCs/>
                <w:sz w:val="20"/>
                <w:szCs w:val="20"/>
              </w:rPr>
              <w:t>Title legal framework of formal adult education in English</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B0062" w14:textId="1F1653D9" w:rsidR="002618FD" w:rsidRDefault="00510FE7">
            <w:r w:rsidRPr="00510FE7">
              <w:t>Decree on adult education of 15 June 2007</w:t>
            </w:r>
          </w:p>
        </w:tc>
      </w:tr>
      <w:tr w:rsidR="00573C2C" w14:paraId="6C300F3B" w14:textId="77777777" w:rsidTr="00140225">
        <w:trPr>
          <w:trHeight w:val="437"/>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96F48" w14:textId="0CB9980D" w:rsidR="00573C2C" w:rsidRDefault="00573C2C" w:rsidP="00573C2C">
            <w:pPr>
              <w:pStyle w:val="Cuerpo"/>
              <w:suppressAutoHyphens/>
              <w:spacing w:after="0" w:line="240" w:lineRule="auto"/>
              <w:outlineLvl w:val="0"/>
              <w:rPr>
                <w:rStyle w:val="Ninguno"/>
                <w:rFonts w:ascii="Helvetica" w:hAnsi="Helvetica"/>
                <w:b/>
                <w:bCs/>
                <w:sz w:val="20"/>
                <w:szCs w:val="20"/>
              </w:rPr>
            </w:pPr>
            <w:r>
              <w:rPr>
                <w:rStyle w:val="Ninguno"/>
                <w:rFonts w:ascii="Helvetica" w:hAnsi="Helvetica"/>
                <w:b/>
                <w:bCs/>
                <w:sz w:val="20"/>
                <w:szCs w:val="20"/>
              </w:rPr>
              <w:t>Title legal framework of formal adult education in the original language</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EF1D4" w14:textId="211C15EF" w:rsidR="00573C2C" w:rsidRDefault="00510FE7">
            <w:r>
              <w:rPr>
                <w:rFonts w:cs="Helvetica"/>
                <w:color w:val="333333"/>
                <w:lang w:val="nl-NL"/>
              </w:rPr>
              <w:t>Decreet betreffende het volwassenenonderwijs van 15 juni 2007</w:t>
            </w:r>
          </w:p>
        </w:tc>
      </w:tr>
      <w:tr w:rsidR="006525BC" w14:paraId="30F6FCBF" w14:textId="77777777" w:rsidTr="00140225">
        <w:trPr>
          <w:trHeight w:val="547"/>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9746E" w14:textId="5B46F1F0" w:rsidR="006525BC" w:rsidRDefault="006425AF" w:rsidP="00672F56">
            <w:pPr>
              <w:suppressAutoHyphens/>
              <w:spacing w:after="0" w:line="240" w:lineRule="auto"/>
              <w:outlineLvl w:val="0"/>
            </w:pPr>
            <w:r w:rsidRPr="00266888">
              <w:rPr>
                <w:rFonts w:ascii="Helvetica" w:eastAsia="Cambria" w:hAnsi="Helvetica" w:cs="Cambria"/>
                <w:b/>
                <w:bCs/>
                <w:sz w:val="20"/>
                <w:szCs w:val="20"/>
              </w:rPr>
              <w:t>Summary</w:t>
            </w:r>
            <w:r w:rsidR="00672F56">
              <w:rPr>
                <w:rFonts w:ascii="Helvetica" w:eastAsia="Cambria" w:hAnsi="Helvetica" w:cs="Cambria"/>
                <w:b/>
                <w:bCs/>
                <w:sz w:val="20"/>
                <w:szCs w:val="20"/>
              </w:rPr>
              <w:t xml:space="preserve"> </w:t>
            </w:r>
            <w:r w:rsidR="00672F56">
              <w:rPr>
                <w:rStyle w:val="Ninguno"/>
                <w:rFonts w:ascii="Helvetica" w:hAnsi="Helvetica"/>
                <w:b/>
                <w:bCs/>
                <w:sz w:val="20"/>
                <w:szCs w:val="20"/>
              </w:rPr>
              <w:t xml:space="preserve">of </w:t>
            </w:r>
            <w:r w:rsidR="00E7027A">
              <w:rPr>
                <w:rStyle w:val="Ninguno"/>
                <w:rFonts w:ascii="Helvetica" w:hAnsi="Helvetica"/>
                <w:b/>
                <w:bCs/>
                <w:sz w:val="20"/>
                <w:szCs w:val="20"/>
              </w:rPr>
              <w:t xml:space="preserve">framework for </w:t>
            </w:r>
            <w:r w:rsidR="00672F56">
              <w:rPr>
                <w:rStyle w:val="Ninguno"/>
                <w:rFonts w:ascii="Helvetica" w:hAnsi="Helvetica"/>
                <w:b/>
                <w:bCs/>
                <w:sz w:val="20"/>
                <w:szCs w:val="20"/>
              </w:rPr>
              <w:t>formal adult education</w:t>
            </w:r>
            <w:r w:rsidR="002618FD">
              <w:rPr>
                <w:rFonts w:ascii="Helvetica" w:eastAsia="Cambria" w:hAnsi="Helvetica" w:cs="Cambria"/>
                <w:b/>
                <w:bCs/>
                <w:sz w:val="20"/>
                <w:szCs w:val="20"/>
              </w:rPr>
              <w:t xml:space="preserve"> </w:t>
            </w:r>
            <w:r w:rsidR="00FB6167">
              <w:rPr>
                <w:rFonts w:ascii="Helvetica" w:eastAsia="Cambria" w:hAnsi="Helvetica" w:cs="Cambria"/>
                <w:b/>
                <w:bCs/>
                <w:sz w:val="20"/>
                <w:szCs w:val="20"/>
              </w:rPr>
              <w:t xml:space="preserve">in English (3.000 </w:t>
            </w:r>
            <w:r w:rsidR="00FB6167" w:rsidRPr="007B0967">
              <w:rPr>
                <w:rFonts w:ascii="Helvetica" w:eastAsia="Cambria" w:hAnsi="Helvetica" w:cs="Cambria"/>
                <w:bCs/>
                <w:sz w:val="20"/>
                <w:szCs w:val="20"/>
              </w:rPr>
              <w:t>characters max</w:t>
            </w:r>
            <w:r w:rsidR="00672F56">
              <w:rPr>
                <w:rFonts w:ascii="Helvetica" w:eastAsia="Cambria" w:hAnsi="Helvetica" w:cs="Cambria"/>
                <w:bCs/>
                <w:sz w:val="20"/>
                <w:szCs w:val="20"/>
              </w:rPr>
              <w:t>imum</w:t>
            </w:r>
            <w:r w:rsidR="00FB6167" w:rsidRPr="007B0967">
              <w:rPr>
                <w:rFonts w:ascii="Helvetica" w:eastAsia="Cambria" w:hAnsi="Helvetica" w:cs="Cambria"/>
                <w:bCs/>
                <w:sz w:val="20"/>
                <w:szCs w:val="20"/>
              </w:rPr>
              <w:t>)</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EA7D6" w14:textId="77777777" w:rsidR="00041761" w:rsidRDefault="00041761" w:rsidP="00041761">
            <w:r>
              <w:t>The objective of adult education is on the one hand to impart the knowledge, skills and attitudes necessary for personal development, social functioning, further participation in education, practicing a profession or mastering a language, and on the other hand to enable them to obtain recognized study certificates.</w:t>
            </w:r>
          </w:p>
          <w:p w14:paraId="64999455" w14:textId="77777777" w:rsidR="00041761" w:rsidRDefault="00041761" w:rsidP="00041761"/>
          <w:p w14:paraId="72DC67AE" w14:textId="77777777" w:rsidR="00041761" w:rsidRDefault="00041761" w:rsidP="00041761">
            <w:r>
              <w:t>To this end, the centers carry out at least the following tasks:</w:t>
            </w:r>
          </w:p>
          <w:p w14:paraId="0C826025" w14:textId="77777777" w:rsidR="00041761" w:rsidRDefault="00041761" w:rsidP="00041761">
            <w:r>
              <w:t>1° organize education in accordance with the provisions of this decree;</w:t>
            </w:r>
          </w:p>
          <w:p w14:paraId="00AF2E82" w14:textId="77777777" w:rsidR="00041761" w:rsidRDefault="00041761" w:rsidP="00041761">
            <w:r>
              <w:t>2° organize learning trajectory guidance at the level of the individual student;</w:t>
            </w:r>
          </w:p>
          <w:p w14:paraId="5B97D424" w14:textId="77777777" w:rsidR="00041761" w:rsidRDefault="00041761" w:rsidP="00041761">
            <w:r>
              <w:t>3° detect the educational needs that are present among the own target group;</w:t>
            </w:r>
          </w:p>
          <w:p w14:paraId="6AB25BA4" w14:textId="77777777" w:rsidR="00041761" w:rsidRDefault="00041761" w:rsidP="00041761">
            <w:r>
              <w:t>4° coordinate the adult education offer of the centers;</w:t>
            </w:r>
          </w:p>
          <w:p w14:paraId="5772A3D4" w14:textId="77777777" w:rsidR="00041761" w:rsidRDefault="00041761" w:rsidP="00041761">
            <w:r>
              <w:t>5° strive for cooperation and coordination between the centers and other public providers of adult training;</w:t>
            </w:r>
          </w:p>
          <w:p w14:paraId="4F34A050" w14:textId="6403E284" w:rsidR="006525BC" w:rsidRDefault="00041761" w:rsidP="00041761">
            <w:r>
              <w:t>6° assess or certify already acquired competences.</w:t>
            </w:r>
          </w:p>
        </w:tc>
      </w:tr>
      <w:tr w:rsidR="006525BC" w14:paraId="16804F4F" w14:textId="77777777" w:rsidTr="00140225">
        <w:trPr>
          <w:trHeight w:val="616"/>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B0381" w14:textId="148B5307" w:rsidR="00F306C2" w:rsidRDefault="0050059B">
            <w:pPr>
              <w:suppressAutoHyphens/>
              <w:spacing w:after="0" w:line="240" w:lineRule="auto"/>
              <w:outlineLvl w:val="0"/>
              <w:rPr>
                <w:rFonts w:ascii="Helvetica" w:eastAsia="Cambria" w:hAnsi="Helvetica" w:cs="Cambria"/>
                <w:b/>
                <w:bCs/>
                <w:sz w:val="20"/>
                <w:szCs w:val="20"/>
              </w:rPr>
            </w:pPr>
            <w:r>
              <w:rPr>
                <w:rFonts w:ascii="Helvetica" w:eastAsia="Cambria" w:hAnsi="Helvetica" w:cs="Cambria"/>
                <w:b/>
                <w:bCs/>
                <w:sz w:val="20"/>
                <w:szCs w:val="20"/>
              </w:rPr>
              <w:t>Summary</w:t>
            </w:r>
            <w:r w:rsidR="002618FD">
              <w:rPr>
                <w:rFonts w:ascii="Helvetica" w:eastAsia="Cambria" w:hAnsi="Helvetica" w:cs="Cambria"/>
                <w:b/>
                <w:bCs/>
                <w:sz w:val="20"/>
                <w:szCs w:val="20"/>
              </w:rPr>
              <w:t xml:space="preserve"> </w:t>
            </w:r>
            <w:r w:rsidR="00672F56">
              <w:rPr>
                <w:rFonts w:ascii="Helvetica" w:eastAsia="Cambria" w:hAnsi="Helvetica" w:cs="Cambria"/>
                <w:b/>
                <w:bCs/>
                <w:sz w:val="20"/>
                <w:szCs w:val="20"/>
              </w:rPr>
              <w:t xml:space="preserve">of </w:t>
            </w:r>
            <w:r w:rsidR="00E7027A">
              <w:rPr>
                <w:rFonts w:ascii="Helvetica" w:eastAsia="Cambria" w:hAnsi="Helvetica" w:cs="Cambria"/>
                <w:b/>
                <w:bCs/>
                <w:sz w:val="20"/>
                <w:szCs w:val="20"/>
              </w:rPr>
              <w:t xml:space="preserve">framework for </w:t>
            </w:r>
            <w:r w:rsidR="00672F56">
              <w:rPr>
                <w:rFonts w:ascii="Helvetica" w:eastAsia="Cambria" w:hAnsi="Helvetica" w:cs="Cambria"/>
                <w:b/>
                <w:bCs/>
                <w:sz w:val="20"/>
                <w:szCs w:val="20"/>
              </w:rPr>
              <w:t xml:space="preserve">formal adult education </w:t>
            </w:r>
            <w:r w:rsidR="00FB6167">
              <w:rPr>
                <w:rFonts w:ascii="Helvetica" w:eastAsia="Cambria" w:hAnsi="Helvetica" w:cs="Cambria"/>
                <w:b/>
                <w:bCs/>
                <w:sz w:val="20"/>
                <w:szCs w:val="20"/>
              </w:rPr>
              <w:t xml:space="preserve">in the original language </w:t>
            </w:r>
          </w:p>
          <w:p w14:paraId="1189F5EE" w14:textId="470AD1AF" w:rsidR="006525BC" w:rsidRDefault="00F306C2" w:rsidP="00573C2C">
            <w:pPr>
              <w:suppressAutoHyphens/>
              <w:spacing w:after="0" w:line="240" w:lineRule="auto"/>
              <w:outlineLvl w:val="0"/>
            </w:pPr>
            <w:r>
              <w:rPr>
                <w:rFonts w:ascii="Helvetica" w:eastAsia="Cambria" w:hAnsi="Helvetica" w:cs="Cambria"/>
                <w:b/>
                <w:bCs/>
                <w:sz w:val="20"/>
                <w:szCs w:val="20"/>
              </w:rPr>
              <w:lastRenderedPageBreak/>
              <w:t>(</w:t>
            </w:r>
            <w:r w:rsidR="00FB6167">
              <w:rPr>
                <w:rFonts w:ascii="Helvetica" w:eastAsia="Cambria" w:hAnsi="Helvetica" w:cs="Cambria"/>
                <w:b/>
                <w:bCs/>
                <w:sz w:val="20"/>
                <w:szCs w:val="20"/>
              </w:rPr>
              <w:t xml:space="preserve">3.000 </w:t>
            </w:r>
            <w:r w:rsidR="002618FD">
              <w:rPr>
                <w:rFonts w:ascii="Helvetica" w:eastAsia="Cambria" w:hAnsi="Helvetica" w:cs="Cambria"/>
                <w:bCs/>
                <w:sz w:val="20"/>
                <w:szCs w:val="20"/>
              </w:rPr>
              <w:t xml:space="preserve">characters </w:t>
            </w:r>
            <w:r w:rsidR="00FB6167" w:rsidRPr="007B0967">
              <w:rPr>
                <w:rFonts w:ascii="Helvetica" w:eastAsia="Cambria" w:hAnsi="Helvetica" w:cs="Cambria"/>
                <w:bCs/>
                <w:sz w:val="20"/>
                <w:szCs w:val="20"/>
              </w:rPr>
              <w:t>maximum)</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C7137" w14:textId="7465B472" w:rsidR="006525BC" w:rsidRPr="00041761" w:rsidRDefault="00D74F8E">
            <w:r w:rsidRPr="00041761">
              <w:rPr>
                <w:rStyle w:val="artikelversie"/>
              </w:rPr>
              <w:lastRenderedPageBreak/>
              <w:t xml:space="preserve">Het volwassenenonderwijs heeft als doelstelling enerzijds de cursisten de kennis, vaardigheden en </w:t>
            </w:r>
            <w:r w:rsidRPr="00041761">
              <w:rPr>
                <w:rStyle w:val="artikelversie"/>
              </w:rPr>
              <w:lastRenderedPageBreak/>
              <w:t>attitudes bij te brengen die nodig zijn voor de persoonlijke ontwikkeling, het maatschappelijk functioneren, het verder deelnemen aan onderwijs, het uitoefenen van een beroep of het beheersen van een taal en anderzijds de cursisten in staat te stellen erkende studiebewijzen te behalen.</w:t>
            </w:r>
            <w:r w:rsidRPr="00041761">
              <w:br/>
            </w:r>
            <w:r w:rsidRPr="00041761">
              <w:br/>
            </w:r>
            <w:r w:rsidRPr="00041761">
              <w:rPr>
                <w:rStyle w:val="artikelversie"/>
              </w:rPr>
              <w:t>Hiertoe voeren de centra ten minste de volgende opdrachten uit :</w:t>
            </w:r>
            <w:r w:rsidRPr="00041761">
              <w:br/>
            </w:r>
            <w:r w:rsidRPr="00041761">
              <w:rPr>
                <w:rStyle w:val="artikelversie"/>
              </w:rPr>
              <w:t>1° onderwijs organiseren in overeenstemming met de bepalingen van dit decreet;</w:t>
            </w:r>
            <w:r w:rsidRPr="00041761">
              <w:br/>
            </w:r>
            <w:r w:rsidRPr="00041761">
              <w:rPr>
                <w:rStyle w:val="artikelversie"/>
              </w:rPr>
              <w:t>2° leertrajectbegeleiding organiseren op het niveau van de individuele cursist;</w:t>
            </w:r>
            <w:r w:rsidRPr="00041761">
              <w:br/>
            </w:r>
            <w:r w:rsidRPr="00041761">
              <w:rPr>
                <w:rStyle w:val="artikelversie"/>
              </w:rPr>
              <w:t>3° de educatieve behoeften detecteren die aanwezig zijn bij de eigen doelgroep;</w:t>
            </w:r>
            <w:r w:rsidRPr="00041761">
              <w:br/>
            </w:r>
            <w:r w:rsidRPr="00041761">
              <w:rPr>
                <w:rStyle w:val="artikelversie"/>
              </w:rPr>
              <w:t>4° het aanbod aan volwassenenonderwijs van de centra op elkaar afstemmen;</w:t>
            </w:r>
            <w:r w:rsidRPr="00041761">
              <w:br/>
            </w:r>
            <w:r w:rsidRPr="00041761">
              <w:rPr>
                <w:rStyle w:val="artikelversie"/>
              </w:rPr>
              <w:t>5° streven naar samenwerking en afstemming tussen de centra en andere publieke verstrekkers van opleidingen voor volwassenen;</w:t>
            </w:r>
            <w:r w:rsidRPr="00041761">
              <w:br/>
            </w:r>
            <w:r w:rsidRPr="00041761">
              <w:rPr>
                <w:rStyle w:val="artikelversie"/>
              </w:rPr>
              <w:t>6° reeds verworven competenties beoordelen of certificeren.</w:t>
            </w:r>
          </w:p>
        </w:tc>
      </w:tr>
      <w:tr w:rsidR="00672F56" w14:paraId="625B8162" w14:textId="77777777" w:rsidTr="00140225">
        <w:trPr>
          <w:trHeight w:val="499"/>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93AFE" w14:textId="0D68119D" w:rsidR="00672F56" w:rsidRDefault="00672F56">
            <w:pPr>
              <w:suppressAutoHyphens/>
              <w:spacing w:after="0" w:line="240" w:lineRule="auto"/>
              <w:outlineLvl w:val="0"/>
              <w:rPr>
                <w:rFonts w:ascii="Helvetica" w:eastAsia="Cambria" w:hAnsi="Helvetica" w:cs="Cambria"/>
                <w:b/>
                <w:bCs/>
                <w:sz w:val="20"/>
                <w:szCs w:val="20"/>
              </w:rPr>
            </w:pPr>
            <w:r>
              <w:rPr>
                <w:rFonts w:ascii="Helvetica" w:eastAsia="Cambria" w:hAnsi="Helvetica" w:cs="Cambria"/>
                <w:b/>
                <w:bCs/>
                <w:sz w:val="20"/>
                <w:szCs w:val="20"/>
              </w:rPr>
              <w:lastRenderedPageBreak/>
              <w:t>Source*</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9082D" w14:textId="48BB521E" w:rsidR="00BA371E" w:rsidRDefault="00786DF6">
            <w:hyperlink r:id="rId7" w:history="1">
              <w:r w:rsidR="00BA371E" w:rsidRPr="002D0212">
                <w:rPr>
                  <w:rStyle w:val="Hipervnculo"/>
                </w:rPr>
                <w:t>https://data-onderwijs.vlaanderen.be/edulex/document.aspx?docid=13914</w:t>
              </w:r>
            </w:hyperlink>
          </w:p>
        </w:tc>
      </w:tr>
      <w:tr w:rsidR="00573C2C" w14:paraId="5C9058B7" w14:textId="77777777" w:rsidTr="00140225">
        <w:trPr>
          <w:trHeight w:val="485"/>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C18BD" w14:textId="22285685" w:rsidR="00573C2C" w:rsidRDefault="00E7027A">
            <w:pPr>
              <w:suppressAutoHyphens/>
              <w:spacing w:after="0" w:line="240" w:lineRule="auto"/>
              <w:outlineLvl w:val="0"/>
              <w:rPr>
                <w:rFonts w:ascii="Helvetica" w:eastAsia="Cambria" w:hAnsi="Helvetica" w:cs="Cambria"/>
                <w:b/>
                <w:bCs/>
                <w:sz w:val="20"/>
                <w:szCs w:val="20"/>
              </w:rPr>
            </w:pPr>
            <w:r>
              <w:rPr>
                <w:rStyle w:val="Ninguno"/>
                <w:rFonts w:ascii="Helvetica" w:hAnsi="Helvetica"/>
                <w:b/>
                <w:bCs/>
                <w:sz w:val="20"/>
                <w:szCs w:val="20"/>
              </w:rPr>
              <w:t>Title legal framework of informal adult education in English</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DBCC9" w14:textId="08D29689" w:rsidR="00573C2C" w:rsidRDefault="00581F4F">
            <w:r w:rsidRPr="00581F4F">
              <w:t>Decree concerning the subsidization and recognition of socio-cultural adult work</w:t>
            </w:r>
          </w:p>
        </w:tc>
      </w:tr>
      <w:tr w:rsidR="00573C2C" w14:paraId="1CE086E3" w14:textId="77777777" w:rsidTr="00140225">
        <w:trPr>
          <w:trHeight w:val="593"/>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D79A1" w14:textId="008BE724" w:rsidR="00573C2C" w:rsidRDefault="00E7027A">
            <w:pPr>
              <w:suppressAutoHyphens/>
              <w:spacing w:after="0" w:line="240" w:lineRule="auto"/>
              <w:outlineLvl w:val="0"/>
              <w:rPr>
                <w:rFonts w:ascii="Helvetica" w:eastAsia="Cambria" w:hAnsi="Helvetica" w:cs="Cambria"/>
                <w:b/>
                <w:bCs/>
                <w:sz w:val="20"/>
                <w:szCs w:val="20"/>
              </w:rPr>
            </w:pPr>
            <w:r>
              <w:rPr>
                <w:rStyle w:val="Ninguno"/>
                <w:rFonts w:ascii="Helvetica" w:hAnsi="Helvetica"/>
                <w:b/>
                <w:bCs/>
                <w:sz w:val="20"/>
                <w:szCs w:val="20"/>
              </w:rPr>
              <w:t>Title legal framework of informal adult education in the original language</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FFB17" w14:textId="5E1512E3" w:rsidR="00573C2C" w:rsidRPr="00581F4F" w:rsidRDefault="00581F4F">
            <w:r w:rsidRPr="00581F4F">
              <w:rPr>
                <w:bCs/>
                <w:color w:val="auto"/>
              </w:rPr>
              <w:t>Decreet houdende de subsidiëring en erkenning van het sociaal-cultureel volwassenenwerk</w:t>
            </w:r>
          </w:p>
        </w:tc>
      </w:tr>
      <w:tr w:rsidR="00573C2C" w14:paraId="6E39E996" w14:textId="77777777" w:rsidTr="00140225">
        <w:trPr>
          <w:trHeight w:val="534"/>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59349" w14:textId="3FFCE944" w:rsidR="00573C2C" w:rsidRDefault="00E7027A" w:rsidP="00672F56">
            <w:pPr>
              <w:suppressAutoHyphens/>
              <w:spacing w:after="0" w:line="240" w:lineRule="auto"/>
              <w:outlineLvl w:val="0"/>
              <w:rPr>
                <w:rFonts w:ascii="Helvetica" w:eastAsia="Cambria" w:hAnsi="Helvetica" w:cs="Cambria"/>
                <w:b/>
                <w:bCs/>
                <w:sz w:val="20"/>
                <w:szCs w:val="20"/>
              </w:rPr>
            </w:pPr>
            <w:r w:rsidRPr="00266888">
              <w:rPr>
                <w:rFonts w:ascii="Helvetica" w:eastAsia="Cambria" w:hAnsi="Helvetica" w:cs="Cambria"/>
                <w:b/>
                <w:bCs/>
                <w:sz w:val="20"/>
                <w:szCs w:val="20"/>
              </w:rPr>
              <w:t>Summary</w:t>
            </w:r>
            <w:r>
              <w:rPr>
                <w:rFonts w:ascii="Helvetica" w:eastAsia="Cambria" w:hAnsi="Helvetica" w:cs="Cambria"/>
                <w:b/>
                <w:bCs/>
                <w:sz w:val="20"/>
                <w:szCs w:val="20"/>
              </w:rPr>
              <w:t xml:space="preserve"> </w:t>
            </w:r>
            <w:r>
              <w:rPr>
                <w:rStyle w:val="Ninguno"/>
                <w:rFonts w:ascii="Helvetica" w:hAnsi="Helvetica"/>
                <w:b/>
                <w:bCs/>
                <w:sz w:val="20"/>
                <w:szCs w:val="20"/>
              </w:rPr>
              <w:t>of framework for informal adult education</w:t>
            </w:r>
            <w:r>
              <w:rPr>
                <w:rFonts w:ascii="Helvetica" w:eastAsia="Cambria" w:hAnsi="Helvetica" w:cs="Cambria"/>
                <w:b/>
                <w:bCs/>
                <w:sz w:val="20"/>
                <w:szCs w:val="20"/>
              </w:rPr>
              <w:t xml:space="preserve"> in English (3.000 </w:t>
            </w:r>
            <w:r w:rsidRPr="007B0967">
              <w:rPr>
                <w:rFonts w:ascii="Helvetica" w:eastAsia="Cambria" w:hAnsi="Helvetica" w:cs="Cambria"/>
                <w:bCs/>
                <w:sz w:val="20"/>
                <w:szCs w:val="20"/>
              </w:rPr>
              <w:t>characters max</w:t>
            </w:r>
            <w:r>
              <w:rPr>
                <w:rFonts w:ascii="Helvetica" w:eastAsia="Cambria" w:hAnsi="Helvetica" w:cs="Cambria"/>
                <w:bCs/>
                <w:sz w:val="20"/>
                <w:szCs w:val="20"/>
              </w:rPr>
              <w:t>imum</w:t>
            </w:r>
            <w:r w:rsidRPr="007B0967">
              <w:rPr>
                <w:rFonts w:ascii="Helvetica" w:eastAsia="Cambria" w:hAnsi="Helvetica" w:cs="Cambria"/>
                <w:bCs/>
                <w:sz w:val="20"/>
                <w:szCs w:val="20"/>
              </w:rPr>
              <w:t>)</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B9657" w14:textId="77777777" w:rsidR="003E23F5" w:rsidRPr="003E23F5" w:rsidRDefault="003E23F5" w:rsidP="003E23F5">
            <w:pPr>
              <w:rPr>
                <w:color w:val="auto"/>
              </w:rPr>
            </w:pPr>
            <w:r w:rsidRPr="003E23F5">
              <w:rPr>
                <w:color w:val="auto"/>
              </w:rPr>
              <w:t>In this decree:</w:t>
            </w:r>
          </w:p>
          <w:p w14:paraId="4063785F" w14:textId="77777777" w:rsidR="003E23F5" w:rsidRPr="003E23F5" w:rsidRDefault="003E23F5" w:rsidP="003E23F5">
            <w:pPr>
              <w:rPr>
                <w:color w:val="auto"/>
              </w:rPr>
            </w:pPr>
            <w:r w:rsidRPr="003E23F5">
              <w:rPr>
                <w:color w:val="auto"/>
              </w:rPr>
              <w:t>1° socio-cultural adult work: all socio-cultural adult organizations that strive as civil actors for the socio-cultural participation of everyone and for a society in which inclusion, sustainability, democracy and solidarity are central;</w:t>
            </w:r>
          </w:p>
          <w:p w14:paraId="430DBC83" w14:textId="77777777" w:rsidR="003E23F5" w:rsidRPr="003E23F5" w:rsidRDefault="003E23F5" w:rsidP="003E23F5">
            <w:pPr>
              <w:rPr>
                <w:color w:val="auto"/>
              </w:rPr>
            </w:pPr>
            <w:r w:rsidRPr="003E23F5">
              <w:rPr>
                <w:color w:val="auto"/>
              </w:rPr>
              <w:t xml:space="preserve">2° socio-cultural adult organisation: a mission- and values-driven organization that contributes to a democratic, sustainable, inclusive and solidarity-based society by actively assuming the connecting, critical and laboratory role. It develops, whether or not in </w:t>
            </w:r>
            <w:r w:rsidRPr="003E23F5">
              <w:rPr>
                <w:color w:val="auto"/>
              </w:rPr>
              <w:lastRenderedPageBreak/>
              <w:t>collaboration with other organisations, socio-cultural practices for and with adults that are relevant to society and that translate a well-considered integration of two or more functions, namely the cultural function, the learning function, the social movement function and the community-building function. These socio-cultural practices largely take place within the leisure time of adults;</w:t>
            </w:r>
          </w:p>
          <w:p w14:paraId="0105CBEE" w14:textId="77777777" w:rsidR="003E23F5" w:rsidRPr="003E23F5" w:rsidRDefault="003E23F5" w:rsidP="003E23F5">
            <w:pPr>
              <w:rPr>
                <w:color w:val="auto"/>
              </w:rPr>
            </w:pPr>
            <w:r w:rsidRPr="003E23F5">
              <w:rPr>
                <w:color w:val="auto"/>
              </w:rPr>
              <w:t>3° socio-cultural role: a connecting, critical or laboratory role;</w:t>
            </w:r>
          </w:p>
          <w:p w14:paraId="566D10DF" w14:textId="77777777" w:rsidR="003E23F5" w:rsidRPr="003E23F5" w:rsidRDefault="003E23F5" w:rsidP="003E23F5">
            <w:pPr>
              <w:rPr>
                <w:color w:val="auto"/>
              </w:rPr>
            </w:pPr>
            <w:r w:rsidRPr="003E23F5">
              <w:rPr>
                <w:color w:val="auto"/>
              </w:rPr>
              <w:t>4° connecting role: connecting people with groups, communities and society at large by offering them spaces in which they can develop in relation to others and by offering them opportunities to participate and participate in those groups, in communities and in society at large ;</w:t>
            </w:r>
          </w:p>
          <w:p w14:paraId="312D29AF" w14:textId="77777777" w:rsidR="003E23F5" w:rsidRPr="003E23F5" w:rsidRDefault="003E23F5" w:rsidP="003E23F5">
            <w:pPr>
              <w:rPr>
                <w:color w:val="auto"/>
              </w:rPr>
            </w:pPr>
            <w:r w:rsidRPr="003E23F5">
              <w:rPr>
                <w:color w:val="auto"/>
              </w:rPr>
              <w:t>5° critical role: questioning values, norms, opinions, institutions and rules of the game and nurturing and conducting public dialogue about them;</w:t>
            </w:r>
          </w:p>
          <w:p w14:paraId="2CA4E861" w14:textId="77777777" w:rsidR="003E23F5" w:rsidRPr="003E23F5" w:rsidRDefault="003E23F5" w:rsidP="003E23F5">
            <w:pPr>
              <w:rPr>
                <w:color w:val="auto"/>
              </w:rPr>
            </w:pPr>
            <w:r w:rsidRPr="003E23F5">
              <w:rPr>
                <w:color w:val="auto"/>
              </w:rPr>
              <w:t>6° laboratory role: experimenting in socially innovative practices with new social rules as an answer to complex social issues;</w:t>
            </w:r>
          </w:p>
          <w:p w14:paraId="4D73A7DB" w14:textId="77777777" w:rsidR="003E23F5" w:rsidRPr="003E23F5" w:rsidRDefault="003E23F5" w:rsidP="003E23F5">
            <w:pPr>
              <w:rPr>
                <w:color w:val="auto"/>
              </w:rPr>
            </w:pPr>
            <w:r w:rsidRPr="003E23F5">
              <w:rPr>
                <w:color w:val="auto"/>
              </w:rPr>
              <w:t>7° community: a network of people who, in self-organization and cooperation, share something with each other, such as norms and values, an agenda or ambition, a common good or a geographical space;</w:t>
            </w:r>
          </w:p>
          <w:p w14:paraId="357EC98B" w14:textId="77777777" w:rsidR="00573C2C" w:rsidRDefault="003E23F5" w:rsidP="003E23F5">
            <w:pPr>
              <w:rPr>
                <w:color w:val="auto"/>
              </w:rPr>
            </w:pPr>
            <w:r w:rsidRPr="003E23F5">
              <w:rPr>
                <w:color w:val="auto"/>
              </w:rPr>
              <w:t>8° socio-cultural practices: the multifunctional practices that appeal to people and groups in one or more dimensions of existence and spheres of life. In these practices, people or groups meet and act together in a targeted manner. These practices thus aim at processes of formation and renewal of individuals, groups and society with the aim of emancipating and strengthening a democratic, sustainable, inclusive and solidarity-based society;</w:t>
            </w:r>
          </w:p>
          <w:p w14:paraId="527B3C3A" w14:textId="77777777" w:rsidR="003E23F5" w:rsidRPr="003E23F5" w:rsidRDefault="003E23F5" w:rsidP="003E23F5">
            <w:pPr>
              <w:rPr>
                <w:color w:val="auto"/>
              </w:rPr>
            </w:pPr>
            <w:r w:rsidRPr="003E23F5">
              <w:rPr>
                <w:color w:val="auto"/>
              </w:rPr>
              <w:t>9° socio-cultural functions: the cultural function, the learning function, the community-building function or the social movement function;</w:t>
            </w:r>
          </w:p>
          <w:p w14:paraId="5CC24EF7" w14:textId="77777777" w:rsidR="003E23F5" w:rsidRPr="003E23F5" w:rsidRDefault="003E23F5" w:rsidP="003E23F5">
            <w:pPr>
              <w:rPr>
                <w:color w:val="auto"/>
              </w:rPr>
            </w:pPr>
            <w:r w:rsidRPr="003E23F5">
              <w:rPr>
                <w:color w:val="auto"/>
              </w:rPr>
              <w:t>10° culture function: purposefully creating, participating, preserving and sharing culture;</w:t>
            </w:r>
          </w:p>
          <w:p w14:paraId="255C4807" w14:textId="77777777" w:rsidR="003E23F5" w:rsidRPr="003E23F5" w:rsidRDefault="003E23F5" w:rsidP="003E23F5">
            <w:pPr>
              <w:rPr>
                <w:color w:val="auto"/>
              </w:rPr>
            </w:pPr>
            <w:r w:rsidRPr="003E23F5">
              <w:rPr>
                <w:color w:val="auto"/>
              </w:rPr>
              <w:lastRenderedPageBreak/>
              <w:t>11° learning function: purposeful setting up of learning environments that enable and promote learning by individuals, groups or communities;</w:t>
            </w:r>
          </w:p>
          <w:p w14:paraId="6043F667" w14:textId="77777777" w:rsidR="003E23F5" w:rsidRPr="003E23F5" w:rsidRDefault="003E23F5" w:rsidP="003E23F5">
            <w:pPr>
              <w:rPr>
                <w:color w:val="auto"/>
              </w:rPr>
            </w:pPr>
            <w:r w:rsidRPr="003E23F5">
              <w:rPr>
                <w:color w:val="auto"/>
              </w:rPr>
              <w:t>12° social movement function: creating targeted space for engagement and politicization in relation to social issues with a view to changes in thinking and acting and in the organization of society;</w:t>
            </w:r>
          </w:p>
          <w:p w14:paraId="2A50C0A9" w14:textId="77777777" w:rsidR="003E23F5" w:rsidRPr="003E23F5" w:rsidRDefault="003E23F5" w:rsidP="003E23F5">
            <w:pPr>
              <w:rPr>
                <w:color w:val="auto"/>
              </w:rPr>
            </w:pPr>
            <w:r w:rsidRPr="003E23F5">
              <w:rPr>
                <w:color w:val="auto"/>
              </w:rPr>
              <w:t>13° community-building function: purposefully supporting and facilitating processes and practices that lead to forming and supporting groups and communities or strengthening the interaction between groups and communities;</w:t>
            </w:r>
          </w:p>
          <w:p w14:paraId="76FBD4CE" w14:textId="77777777" w:rsidR="003E23F5" w:rsidRPr="003E23F5" w:rsidRDefault="003E23F5" w:rsidP="003E23F5">
            <w:pPr>
              <w:rPr>
                <w:color w:val="auto"/>
              </w:rPr>
            </w:pPr>
            <w:r w:rsidRPr="003E23F5">
              <w:rPr>
                <w:color w:val="auto"/>
              </w:rPr>
              <w:t>14° socio-cultural participation: participating in or participating in informal networks (social participation), social institutions (social participation), art and culture (cultural participation) or politics and policy (political and policy participation) from a working towards specific groups with each their own characteristics so that they can participate together (inclusive approach) or work towards specific groups of citizens with specific characteristics (categorical approach);</w:t>
            </w:r>
          </w:p>
          <w:p w14:paraId="361FD2A1" w14:textId="77777777" w:rsidR="003E23F5" w:rsidRPr="003E23F5" w:rsidRDefault="003E23F5" w:rsidP="003E23F5">
            <w:pPr>
              <w:rPr>
                <w:color w:val="auto"/>
              </w:rPr>
            </w:pPr>
            <w:r w:rsidRPr="003E23F5">
              <w:rPr>
                <w:color w:val="auto"/>
              </w:rPr>
              <w:t>15° free time: the time that citizens do not spend on paid employment and school and vocational training;</w:t>
            </w:r>
          </w:p>
          <w:p w14:paraId="7DE044A0" w14:textId="77777777" w:rsidR="003E23F5" w:rsidRPr="003E23F5" w:rsidRDefault="003E23F5" w:rsidP="003E23F5">
            <w:pPr>
              <w:rPr>
                <w:color w:val="auto"/>
              </w:rPr>
            </w:pPr>
            <w:r w:rsidRPr="003E23F5">
              <w:rPr>
                <w:color w:val="auto"/>
              </w:rPr>
              <w:t>16° policy period: a period of five years for which an organization can receive a subsidy. The first policy period runs from 2021 to 2025. The second policy period runs from 2026 to 2030 inclusive, subsequent policy periods each cover five years;</w:t>
            </w:r>
          </w:p>
          <w:p w14:paraId="1FB59BAC" w14:textId="77777777" w:rsidR="003E23F5" w:rsidRPr="003E23F5" w:rsidRDefault="003E23F5" w:rsidP="003E23F5">
            <w:pPr>
              <w:rPr>
                <w:color w:val="auto"/>
              </w:rPr>
            </w:pPr>
            <w:r w:rsidRPr="003E23F5">
              <w:rPr>
                <w:color w:val="auto"/>
              </w:rPr>
              <w:t>17° subsidy envelope: the annual financial envelope per socio-cultural adult organisation;</w:t>
            </w:r>
          </w:p>
          <w:p w14:paraId="1521DE8B" w14:textId="77777777" w:rsidR="003E23F5" w:rsidRPr="003E23F5" w:rsidRDefault="003E23F5" w:rsidP="003E23F5">
            <w:pPr>
              <w:rPr>
                <w:color w:val="auto"/>
              </w:rPr>
            </w:pPr>
            <w:r w:rsidRPr="003E23F5">
              <w:rPr>
                <w:color w:val="auto"/>
              </w:rPr>
              <w:t>18° assessment elements: the substantive and business elements that must be met in order to be eligible for subsidy;</w:t>
            </w:r>
          </w:p>
          <w:p w14:paraId="4F6331CB" w14:textId="77777777" w:rsidR="003E23F5" w:rsidRPr="003E23F5" w:rsidRDefault="003E23F5" w:rsidP="003E23F5">
            <w:pPr>
              <w:rPr>
                <w:color w:val="auto"/>
              </w:rPr>
            </w:pPr>
            <w:r w:rsidRPr="003E23F5">
              <w:rPr>
                <w:color w:val="auto"/>
              </w:rPr>
              <w:t>19° working year: a period from 1 January to 31 December;</w:t>
            </w:r>
          </w:p>
          <w:p w14:paraId="2B7A1489" w14:textId="77777777" w:rsidR="003E23F5" w:rsidRPr="003E23F5" w:rsidRDefault="003E23F5" w:rsidP="003E23F5">
            <w:pPr>
              <w:rPr>
                <w:color w:val="auto"/>
              </w:rPr>
            </w:pPr>
            <w:r w:rsidRPr="003E23F5">
              <w:rPr>
                <w:color w:val="auto"/>
              </w:rPr>
              <w:t>20° Decree of April 4, 2003: the Decree of April 4, 2003 on socio-cultural adult work;</w:t>
            </w:r>
          </w:p>
          <w:p w14:paraId="057292CE" w14:textId="77777777" w:rsidR="003E23F5" w:rsidRPr="003E23F5" w:rsidRDefault="003E23F5" w:rsidP="003E23F5">
            <w:pPr>
              <w:rPr>
                <w:color w:val="auto"/>
              </w:rPr>
            </w:pPr>
            <w:r w:rsidRPr="003E23F5">
              <w:rPr>
                <w:color w:val="auto"/>
              </w:rPr>
              <w:lastRenderedPageBreak/>
              <w:t>21° administration: the service of the Flemish Government that is competent for socio-cultural adult work;</w:t>
            </w:r>
          </w:p>
          <w:p w14:paraId="1776A3CF" w14:textId="77777777" w:rsidR="003E23F5" w:rsidRPr="003E23F5" w:rsidRDefault="003E23F5" w:rsidP="003E23F5">
            <w:pPr>
              <w:rPr>
                <w:color w:val="auto"/>
              </w:rPr>
            </w:pPr>
            <w:r w:rsidRPr="003E23F5">
              <w:rPr>
                <w:color w:val="auto"/>
              </w:rPr>
              <w:t>22° policy plan: a document in which the organization outlines its substantive and business policy for five years;</w:t>
            </w:r>
          </w:p>
          <w:p w14:paraId="4FA05685" w14:textId="77777777" w:rsidR="003E23F5" w:rsidRDefault="003E23F5" w:rsidP="003E23F5">
            <w:pPr>
              <w:rPr>
                <w:color w:val="auto"/>
              </w:rPr>
            </w:pPr>
            <w:r w:rsidRPr="003E23F5">
              <w:rPr>
                <w:color w:val="auto"/>
              </w:rPr>
              <w:t>23° target group: a part of the population or a group of people who share social or personal characteristics, to which a specific offer or strategy is aimed with a view to realizing the mission and vision of the organization;</w:t>
            </w:r>
          </w:p>
          <w:p w14:paraId="3CCF9588" w14:textId="77777777" w:rsidR="003E23F5" w:rsidRPr="003E23F5" w:rsidRDefault="003E23F5" w:rsidP="003E23F5">
            <w:pPr>
              <w:rPr>
                <w:color w:val="auto"/>
              </w:rPr>
            </w:pPr>
            <w:r w:rsidRPr="003E23F5">
              <w:rPr>
                <w:color w:val="auto"/>
              </w:rPr>
              <w:t>24° disadvantaged group: people in poverty, people with disabilities, people of foreign origin and detainees;</w:t>
            </w:r>
          </w:p>
          <w:p w14:paraId="02A84C11" w14:textId="77777777" w:rsidR="003E23F5" w:rsidRPr="003E23F5" w:rsidRDefault="003E23F5" w:rsidP="003E23F5">
            <w:pPr>
              <w:rPr>
                <w:color w:val="auto"/>
              </w:rPr>
            </w:pPr>
            <w:r w:rsidRPr="003E23F5">
              <w:rPr>
                <w:color w:val="auto"/>
              </w:rPr>
              <w:t>25° principles of good governance: guaranteeing coherent and transparent management and supervision within an organization, with a view to the efficient and effective realization of its objectives;</w:t>
            </w:r>
          </w:p>
          <w:p w14:paraId="0D7ACA7F" w14:textId="77777777" w:rsidR="003E23F5" w:rsidRPr="003E23F5" w:rsidRDefault="003E23F5" w:rsidP="003E23F5">
            <w:pPr>
              <w:rPr>
                <w:color w:val="auto"/>
              </w:rPr>
            </w:pPr>
            <w:r w:rsidRPr="003E23F5">
              <w:rPr>
                <w:color w:val="auto"/>
              </w:rPr>
              <w:t>26° progress report: a document that provides an overview of the implementation of the policy plan in the first two years of the policy period and provides a preview of the planned implementation of the policy plan in the current year and the last two years of the policy period;</w:t>
            </w:r>
          </w:p>
          <w:p w14:paraId="3AB724F5" w14:textId="77777777" w:rsidR="003E23F5" w:rsidRPr="003E23F5" w:rsidRDefault="003E23F5" w:rsidP="003E23F5">
            <w:pPr>
              <w:rPr>
                <w:color w:val="auto"/>
              </w:rPr>
            </w:pPr>
            <w:r w:rsidRPr="003E23F5">
              <w:rPr>
                <w:color w:val="auto"/>
              </w:rPr>
              <w:t>27° assessment criteria: the technical specifications and the descriptive parts of the assessment elements that form the guideline for the assessment visit and assessment committees;</w:t>
            </w:r>
          </w:p>
          <w:p w14:paraId="1F11AC0A" w14:textId="77777777" w:rsidR="003E23F5" w:rsidRPr="003E23F5" w:rsidRDefault="003E23F5" w:rsidP="003E23F5">
            <w:pPr>
              <w:rPr>
                <w:color w:val="auto"/>
              </w:rPr>
            </w:pPr>
            <w:r w:rsidRPr="003E23F5">
              <w:rPr>
                <w:color w:val="auto"/>
              </w:rPr>
              <w:t>28° total subsidy envelope: the total available budget for the implementation of this decree;</w:t>
            </w:r>
          </w:p>
          <w:p w14:paraId="0401B7BB" w14:textId="77777777" w:rsidR="003E23F5" w:rsidRPr="003E23F5" w:rsidRDefault="003E23F5" w:rsidP="003E23F5">
            <w:pPr>
              <w:rPr>
                <w:color w:val="auto"/>
              </w:rPr>
            </w:pPr>
            <w:r w:rsidRPr="003E23F5">
              <w:rPr>
                <w:color w:val="auto"/>
              </w:rPr>
              <w:t>29° job selection: choice of two or more socio-cultural jobs;</w:t>
            </w:r>
          </w:p>
          <w:p w14:paraId="50F227F8" w14:textId="77777777" w:rsidR="003E23F5" w:rsidRPr="003E23F5" w:rsidRDefault="003E23F5" w:rsidP="003E23F5">
            <w:pPr>
              <w:rPr>
                <w:color w:val="auto"/>
              </w:rPr>
            </w:pPr>
            <w:r w:rsidRPr="003E23F5">
              <w:rPr>
                <w:color w:val="auto"/>
              </w:rPr>
              <w:t>30° function mix: the relationship between the various chosen socio-cultural functions in the functioning of a socio-cultural organisation;</w:t>
            </w:r>
          </w:p>
          <w:p w14:paraId="3E701DF4" w14:textId="5A5F8E77" w:rsidR="003E23F5" w:rsidRPr="00581F4F" w:rsidRDefault="003E23F5" w:rsidP="003E23F5">
            <w:pPr>
              <w:rPr>
                <w:color w:val="auto"/>
              </w:rPr>
            </w:pPr>
            <w:r w:rsidRPr="003E23F5">
              <w:rPr>
                <w:color w:val="auto"/>
              </w:rPr>
              <w:t>31° General Block Exemption Regulation: Commission Regulation (EU) No 651/2014 of 17 June 2014 declaring certain categories of aid compatible with the internal market on the basis of Articles 107 and 108 of the Treaty</w:t>
            </w:r>
            <w:r>
              <w:rPr>
                <w:color w:val="auto"/>
              </w:rPr>
              <w:t>.</w:t>
            </w:r>
          </w:p>
        </w:tc>
      </w:tr>
      <w:tr w:rsidR="002618FD" w14:paraId="7D2FAD9E" w14:textId="77777777" w:rsidTr="00140225">
        <w:trPr>
          <w:trHeight w:val="488"/>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AE432" w14:textId="648DB89B" w:rsidR="00E7027A" w:rsidRDefault="00E7027A" w:rsidP="00E7027A">
            <w:pPr>
              <w:suppressAutoHyphens/>
              <w:spacing w:after="0" w:line="240" w:lineRule="auto"/>
              <w:outlineLvl w:val="0"/>
              <w:rPr>
                <w:rFonts w:ascii="Helvetica" w:eastAsia="Cambria" w:hAnsi="Helvetica" w:cs="Cambria"/>
                <w:b/>
                <w:bCs/>
                <w:sz w:val="20"/>
                <w:szCs w:val="20"/>
              </w:rPr>
            </w:pPr>
            <w:r>
              <w:rPr>
                <w:rFonts w:ascii="Helvetica" w:eastAsia="Cambria" w:hAnsi="Helvetica" w:cs="Cambria"/>
                <w:b/>
                <w:bCs/>
                <w:sz w:val="20"/>
                <w:szCs w:val="20"/>
              </w:rPr>
              <w:lastRenderedPageBreak/>
              <w:t xml:space="preserve">Summary of framework for informal adult education in the original language </w:t>
            </w:r>
          </w:p>
          <w:p w14:paraId="62EF86FB" w14:textId="4A90F561" w:rsidR="002618FD" w:rsidRDefault="00E7027A" w:rsidP="00E7027A">
            <w:pPr>
              <w:suppressAutoHyphens/>
              <w:spacing w:after="0" w:line="240" w:lineRule="auto"/>
              <w:outlineLvl w:val="0"/>
              <w:rPr>
                <w:rFonts w:ascii="Helvetica" w:eastAsia="Cambria" w:hAnsi="Helvetica" w:cs="Cambria"/>
                <w:b/>
                <w:bCs/>
                <w:sz w:val="20"/>
                <w:szCs w:val="20"/>
              </w:rPr>
            </w:pPr>
            <w:r>
              <w:rPr>
                <w:rFonts w:ascii="Helvetica" w:eastAsia="Cambria" w:hAnsi="Helvetica" w:cs="Cambria"/>
                <w:b/>
                <w:bCs/>
                <w:sz w:val="20"/>
                <w:szCs w:val="20"/>
              </w:rPr>
              <w:t xml:space="preserve">(3.000 </w:t>
            </w:r>
            <w:r>
              <w:rPr>
                <w:rFonts w:ascii="Helvetica" w:eastAsia="Cambria" w:hAnsi="Helvetica" w:cs="Cambria"/>
                <w:bCs/>
                <w:sz w:val="20"/>
                <w:szCs w:val="20"/>
              </w:rPr>
              <w:t xml:space="preserve">characters </w:t>
            </w:r>
            <w:r w:rsidRPr="007B0967">
              <w:rPr>
                <w:rFonts w:ascii="Helvetica" w:eastAsia="Cambria" w:hAnsi="Helvetica" w:cs="Cambria"/>
                <w:bCs/>
                <w:sz w:val="20"/>
                <w:szCs w:val="20"/>
              </w:rPr>
              <w:t>maximum)</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A4758" w14:textId="637C4A4E" w:rsidR="002618FD" w:rsidRPr="00581F4F" w:rsidRDefault="00853004">
            <w:pPr>
              <w:rPr>
                <w:color w:val="auto"/>
              </w:rPr>
            </w:pPr>
            <w:r w:rsidRPr="00581F4F">
              <w:rPr>
                <w:color w:val="auto"/>
                <w:lang w:val="nl-NL"/>
              </w:rPr>
              <w:t>In dit decreet wordt verstaan onder:</w:t>
            </w:r>
            <w:r w:rsidRPr="00581F4F">
              <w:rPr>
                <w:color w:val="auto"/>
                <w:lang w:val="nl-NL"/>
              </w:rPr>
              <w:br/>
              <w:t>1° sociaal-cultureel volwassenenwerk: het geheel van sociaal-culturele volwassenenorganisaties die als civiele actoren streven naar sociaal-culturele participatie van iedereen en naar een samenleving waarin inclusie, duurzaamheid, democratie en solidariteit centraal staan;</w:t>
            </w:r>
            <w:r w:rsidRPr="00581F4F">
              <w:rPr>
                <w:color w:val="auto"/>
                <w:lang w:val="nl-NL"/>
              </w:rPr>
              <w:br/>
              <w:t>2° sociaal-culturele volwassenenorganisatie: een missie- en waardengedreven organisatie die bijdraagt tot een democratische, duurzame, inclusieve en solidaire samenleving door de verbindende, de kritische en de laboratoriumrol actief op te nemen. Ze ontwikkelt, al dan niet in samenwerking met andere organisaties, sociaal-culturele praktijken voor en met volwassenen die relevant zijn voor de samenleving en die de vertaling vormen van een eigen weloverwogen integratie van twee of meerdere functies, namelijk de cultuurfunctie, de leerfunctie, de maatschappelijke bewegingsfunctie en de gemeenschapsvormende functie. Deze sociaal-culturele praktijken spelen zich grotendeels af binnen de vrije tijd van volwassenen;</w:t>
            </w:r>
            <w:r w:rsidRPr="00581F4F">
              <w:rPr>
                <w:color w:val="auto"/>
                <w:lang w:val="nl-NL"/>
              </w:rPr>
              <w:br/>
              <w:t>3° sociaal-culturele rol: een verbindende, een kritische of een laboratoriumrol;</w:t>
            </w:r>
            <w:r w:rsidRPr="00581F4F">
              <w:rPr>
                <w:color w:val="auto"/>
                <w:lang w:val="nl-NL"/>
              </w:rPr>
              <w:br/>
              <w:t>4° verbindende rol: mensen verbinden met groepen, gemeenschappen en de brede samenleving door hen ruimtes te bieden waarin ze zich kunnen ontwikkelen in relatie tot anderen en door hen kansen te bieden op deelnemen en deelhebben aan die groepen, aan gemeenschappen en aan de brede samenleving;</w:t>
            </w:r>
            <w:r w:rsidRPr="00581F4F">
              <w:rPr>
                <w:color w:val="auto"/>
                <w:lang w:val="nl-NL"/>
              </w:rPr>
              <w:br/>
              <w:t>5° kritische rol: in vraag stellen van waarden, normen, opvattingen, instituties en spelregels en de publieke dialoog daarover voeden en voeren;</w:t>
            </w:r>
            <w:r w:rsidRPr="00581F4F">
              <w:rPr>
                <w:color w:val="auto"/>
                <w:lang w:val="nl-NL"/>
              </w:rPr>
              <w:br/>
              <w:t>6° laboratoriumrol: in maatschappelijk innoverende praktijken experimenteren met nieuwe maatschappelijke spelregels als antwoord op complexe samenlevingsvraagstukken;</w:t>
            </w:r>
            <w:r w:rsidRPr="00581F4F">
              <w:rPr>
                <w:color w:val="auto"/>
                <w:lang w:val="nl-NL"/>
              </w:rPr>
              <w:br/>
              <w:t>7° gemeenschap: een netwerk van mensen die in zelforganisatie en samenwerking iets delen met elkaar, zoals normen en waarden, een agenda of ambitie, een gemeen goed of een geografische ruimte;</w:t>
            </w:r>
            <w:r w:rsidRPr="00581F4F">
              <w:rPr>
                <w:color w:val="auto"/>
                <w:lang w:val="nl-NL"/>
              </w:rPr>
              <w:br/>
              <w:t xml:space="preserve">8° sociaal-culturele praktijken: de multifunctionele praktijken die mensen en groepen aanspreken in een of meer bestaansdimensies en levenssferen. In die praktijken ontmoeten mensen of groepen elkaar en komen ze samen tot doelgericht handelen. Deze </w:t>
            </w:r>
            <w:r w:rsidRPr="00581F4F">
              <w:rPr>
                <w:color w:val="auto"/>
                <w:lang w:val="nl-NL"/>
              </w:rPr>
              <w:lastRenderedPageBreak/>
              <w:t>praktijken beogen daarmee processen van vorming en vernieuwing van individuen, groepen en maatschappij met als doel de emancipatie en de versterking van een democratische, duurzame, inclusieve en solidaire samenleving;</w:t>
            </w:r>
            <w:r w:rsidRPr="00581F4F">
              <w:rPr>
                <w:color w:val="auto"/>
                <w:lang w:val="nl-NL"/>
              </w:rPr>
              <w:br/>
              <w:t>9° sociaal-culturele functies: de cultuurfunctie, de leerfunctie, de gemeenschapsvormende functie of de maatschappelijke bewegingsfunctie;</w:t>
            </w:r>
            <w:r w:rsidRPr="00581F4F">
              <w:rPr>
                <w:color w:val="auto"/>
                <w:lang w:val="nl-NL"/>
              </w:rPr>
              <w:br/>
              <w:t>10° cultuurfunctie: doelgericht creëren, deelnemen, bewaren en delen van cultuur;</w:t>
            </w:r>
            <w:r w:rsidRPr="00581F4F">
              <w:rPr>
                <w:color w:val="auto"/>
                <w:lang w:val="nl-NL"/>
              </w:rPr>
              <w:br/>
              <w:t>11° leerfunctie: doelgericht opzetten van leeromgevingen die het leren door individuen, groepen of gemeenschappen mogelijk maken en bevorderen;</w:t>
            </w:r>
            <w:r w:rsidRPr="00581F4F">
              <w:rPr>
                <w:color w:val="auto"/>
                <w:lang w:val="nl-NL"/>
              </w:rPr>
              <w:br/>
              <w:t>12° maatschappelijke bewegingsfunctie: in relatie tot samenlevingsvraagstukken doelgericht ruimte creëren voor engagement en politisering met het oog op veranderingen in denken en handelen en in de inrichting van de maatschappij;</w:t>
            </w:r>
            <w:r w:rsidRPr="00581F4F">
              <w:rPr>
                <w:color w:val="auto"/>
                <w:lang w:val="nl-NL"/>
              </w:rPr>
              <w:br/>
              <w:t>13° gemeenschapsvormende functie: doelgericht ondersteunen en faciliteren van processen en praktijken die leiden tot vormen en ondersteunen van groepen en gemeenschappen of versterken van de interactie tussen groepen en gemeenschappen;</w:t>
            </w:r>
            <w:r w:rsidRPr="00581F4F">
              <w:rPr>
                <w:color w:val="auto"/>
                <w:lang w:val="nl-NL"/>
              </w:rPr>
              <w:br/>
              <w:t>14° sociaal-culturele participatie: deelnemen aan of deelhebben aan informele netwerken (sociale participatie), maatschappelijke instituties (maatschappelijke participatie), kunst en cultuur (culturele participatie) of politiek en beleid (politieke en beleidsparticipatie) vanuit een werking naar specifieke groepen met elk hun eigen kenmerken zodat ze samen kunnen participeren (inclusieve benadering) of vanuit een werking naar specifieke groepen burgers met specifieke kenmerken (categoriale benadering);</w:t>
            </w:r>
            <w:r w:rsidRPr="00581F4F">
              <w:rPr>
                <w:color w:val="auto"/>
                <w:lang w:val="nl-NL"/>
              </w:rPr>
              <w:br/>
              <w:t>15° vrije tijd: de tijd die burgers niet besteden aan betaalde arbeid en school- en beroepsopleiding;</w:t>
            </w:r>
            <w:r w:rsidRPr="00581F4F">
              <w:rPr>
                <w:color w:val="auto"/>
                <w:lang w:val="nl-NL"/>
              </w:rPr>
              <w:br/>
              <w:t>16° beleidsperiode: een periode van vijf jaar waarvoor een organisatie een subsidie kan krijgen. De eerste beleidsperiode loopt van 2021 tot en met 2025. De tweede beleidsperiode loopt van 2026 tot en met 2030, volgende beleidsperiodes beslaan telkens vijf jaar;</w:t>
            </w:r>
            <w:r w:rsidRPr="00581F4F">
              <w:rPr>
                <w:color w:val="auto"/>
                <w:lang w:val="nl-NL"/>
              </w:rPr>
              <w:br/>
              <w:t>17° subsidie-enveloppe: de jaarlijkse financiële enveloppe per sociaal-culturele volwassenenorganisatie;</w:t>
            </w:r>
            <w:r w:rsidRPr="00581F4F">
              <w:rPr>
                <w:color w:val="auto"/>
                <w:lang w:val="nl-NL"/>
              </w:rPr>
              <w:br/>
            </w:r>
            <w:r w:rsidRPr="00581F4F">
              <w:rPr>
                <w:color w:val="auto"/>
                <w:lang w:val="nl-NL"/>
              </w:rPr>
              <w:lastRenderedPageBreak/>
              <w:t>18° beoordelingselementen: de inhoudelijke en zakelijke elementen waaraan moet worden voldaan om in aanmerking te komen voor subsidiëring;</w:t>
            </w:r>
            <w:r w:rsidRPr="00581F4F">
              <w:rPr>
                <w:color w:val="auto"/>
                <w:lang w:val="nl-NL"/>
              </w:rPr>
              <w:br/>
              <w:t>19° werkjaar: een periode van 1 januari tot en met 31 december;</w:t>
            </w:r>
            <w:r w:rsidRPr="00581F4F">
              <w:rPr>
                <w:color w:val="auto"/>
                <w:lang w:val="nl-NL"/>
              </w:rPr>
              <w:br/>
              <w:t>20° decreet van 4 april 2003: het decreet van 4 april 2003 betreffende het sociaal-cultureel volwassenenwerk;</w:t>
            </w:r>
            <w:r w:rsidRPr="00581F4F">
              <w:rPr>
                <w:color w:val="auto"/>
                <w:lang w:val="nl-NL"/>
              </w:rPr>
              <w:br/>
              <w:t>21° administratie: de dienst van de Vlaamse Regering die bevoegd is voor het sociaal-cultureel volwassenenwerk;</w:t>
            </w:r>
            <w:r w:rsidRPr="00581F4F">
              <w:rPr>
                <w:color w:val="auto"/>
                <w:lang w:val="nl-NL"/>
              </w:rPr>
              <w:br/>
              <w:t>22° beleidsplan: een document waarin de organisatie haar inhoudelijk en zakelijk beleid voor vijf jaar uittekent;</w:t>
            </w:r>
            <w:r w:rsidRPr="00581F4F">
              <w:rPr>
                <w:color w:val="auto"/>
                <w:lang w:val="nl-NL"/>
              </w:rPr>
              <w:br/>
              <w:t>23° doelgroep: een deel van de bevolking of een groep van mensen die sociale of persoonskenmerken gemeenschappelijk hebben, waarop een bepaald aanbod of een bepaalde strategie gericht wordt met oog op de realisering van de missie en de visie van de organisatie;</w:t>
            </w:r>
            <w:r w:rsidRPr="00581F4F">
              <w:rPr>
                <w:color w:val="auto"/>
                <w:lang w:val="nl-NL"/>
              </w:rPr>
              <w:br/>
              <w:t>24° kansengroep: mensen in armoede, mensen met een beperking, personen van vreemde herkomst en gedetineerden;</w:t>
            </w:r>
            <w:r w:rsidRPr="00581F4F">
              <w:rPr>
                <w:color w:val="auto"/>
                <w:lang w:val="nl-NL"/>
              </w:rPr>
              <w:br/>
              <w:t>25° principes van goed bestuur: waarborgen van een samenhangend en transparant bestuur en toezicht binnen een organisatie, met het oog op een efficiënte en effectieve realisatie van haar doelstellingen;</w:t>
            </w:r>
            <w:r w:rsidRPr="00581F4F">
              <w:rPr>
                <w:color w:val="auto"/>
                <w:lang w:val="nl-NL"/>
              </w:rPr>
              <w:br/>
              <w:t>26° voortgangsrapport: een document dat een stand van zaken geeft over de uitvoering van het beleidsplan in de eerste twee jaar van de beleidsperiode en een vooruitblik biedt op de geplande uitvoering van het beleidsplan in het lopende jaar en de laatste twee jaar van de beleidsperiode;</w:t>
            </w:r>
            <w:r w:rsidRPr="00581F4F">
              <w:rPr>
                <w:color w:val="auto"/>
                <w:lang w:val="nl-NL"/>
              </w:rPr>
              <w:br/>
              <w:t>27° beoordelingscriteria: de technische specificaties en de beschrijvende onderdelen van de beoordelingselementen die de leidraad vormen voor de visitatie- en beoordelingscommissies;</w:t>
            </w:r>
            <w:r w:rsidRPr="00581F4F">
              <w:rPr>
                <w:color w:val="auto"/>
                <w:lang w:val="nl-NL"/>
              </w:rPr>
              <w:br/>
              <w:t>28° totale subsidie-enveloppe: het totale beschikbare budget voor de uitvoering van dit decreet;</w:t>
            </w:r>
            <w:r w:rsidRPr="00581F4F">
              <w:rPr>
                <w:color w:val="auto"/>
                <w:lang w:val="nl-NL"/>
              </w:rPr>
              <w:br/>
              <w:t>29° functiekeuze: keuze van twee of meerdere sociaal-culturele functies;</w:t>
            </w:r>
            <w:r w:rsidRPr="00581F4F">
              <w:rPr>
                <w:color w:val="auto"/>
                <w:lang w:val="nl-NL"/>
              </w:rPr>
              <w:br/>
              <w:t>30° functiemix: de verhouding tussen de verschillende gekozen sociaal-culturele functies in de werking van een sociaal-culturele organisatie;</w:t>
            </w:r>
            <w:r w:rsidRPr="00581F4F">
              <w:rPr>
                <w:color w:val="auto"/>
                <w:lang w:val="nl-NL"/>
              </w:rPr>
              <w:br/>
              <w:t xml:space="preserve">31° Algemene Groepsvrijstellingsverordening: verordening (EU) nr. 651/2014 van de Commissie van </w:t>
            </w:r>
            <w:r w:rsidRPr="00581F4F">
              <w:rPr>
                <w:color w:val="auto"/>
                <w:lang w:val="nl-NL"/>
              </w:rPr>
              <w:lastRenderedPageBreak/>
              <w:t>17 juni 2014 waarbij bepaalde categorieën steun op grond van de artikelen 107 en 108 van het Verdrag met de interne markt verenigbaar worden verklaard.</w:t>
            </w:r>
          </w:p>
        </w:tc>
      </w:tr>
      <w:tr w:rsidR="006525BC" w14:paraId="1A04EF48" w14:textId="77777777" w:rsidTr="00140225">
        <w:trPr>
          <w:trHeight w:val="49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3C80A" w14:textId="3405B28F" w:rsidR="006525BC" w:rsidRDefault="00FB6167">
            <w:pPr>
              <w:suppressAutoHyphens/>
              <w:spacing w:after="0" w:line="240" w:lineRule="auto"/>
              <w:outlineLvl w:val="0"/>
            </w:pPr>
            <w:r>
              <w:rPr>
                <w:rFonts w:ascii="Helvetica" w:eastAsia="Cambria" w:hAnsi="Helvetica" w:cs="Cambria"/>
                <w:b/>
                <w:bCs/>
                <w:sz w:val="20"/>
                <w:szCs w:val="20"/>
              </w:rPr>
              <w:lastRenderedPageBreak/>
              <w:t>Source</w:t>
            </w:r>
            <w:r w:rsidR="0050059B">
              <w:rPr>
                <w:rFonts w:ascii="Helvetica" w:eastAsia="Cambria" w:hAnsi="Helvetica" w:cs="Cambria"/>
                <w:b/>
                <w:bCs/>
                <w:sz w:val="20"/>
                <w:szCs w:val="20"/>
              </w:rPr>
              <w:t>*</w:t>
            </w:r>
          </w:p>
          <w:p w14:paraId="01FDD08C" w14:textId="77777777" w:rsidR="006525BC" w:rsidRDefault="006525BC">
            <w:pPr>
              <w:suppressAutoHyphens/>
              <w:spacing w:after="0" w:line="240" w:lineRule="auto"/>
              <w:outlineLvl w:val="0"/>
            </w:pP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64515" w14:textId="762E8230" w:rsidR="006525BC" w:rsidRDefault="00581F4F">
            <w:r w:rsidRPr="00581F4F">
              <w:t>https://codex.vlaanderen.be/Zoeken/Document.aspx?DID=1028624&amp;param=inhoud</w:t>
            </w:r>
          </w:p>
        </w:tc>
      </w:tr>
    </w:tbl>
    <w:p w14:paraId="3D189DB1" w14:textId="77777777" w:rsidR="006525BC" w:rsidRDefault="006525BC">
      <w:pPr>
        <w:pStyle w:val="CuerpoA"/>
        <w:widowControl w:val="0"/>
        <w:ind w:left="108" w:hanging="108"/>
        <w:rPr>
          <w:lang w:val="en-US"/>
        </w:rPr>
      </w:pPr>
    </w:p>
    <w:p w14:paraId="60388CB3" w14:textId="0F8B6AC6" w:rsidR="0050059B" w:rsidRDefault="0050059B">
      <w:pPr>
        <w:pStyle w:val="CuerpoA"/>
      </w:pPr>
    </w:p>
    <w:p w14:paraId="1A77DF16" w14:textId="6C7AF013" w:rsidR="00F941C8" w:rsidRDefault="0050059B" w:rsidP="0050059B">
      <w:pPr>
        <w:pStyle w:val="CuerpoA"/>
        <w:rPr>
          <w:lang w:val="en-GB"/>
        </w:rPr>
      </w:pPr>
      <w:r w:rsidRPr="0050059B">
        <w:rPr>
          <w:lang w:val="en-GB"/>
        </w:rPr>
        <w:t>*Source:</w:t>
      </w:r>
      <w:r w:rsidR="00F941C8">
        <w:rPr>
          <w:lang w:val="en-GB"/>
        </w:rPr>
        <w:t xml:space="preserve"> For references, please use APA style </w:t>
      </w:r>
    </w:p>
    <w:p w14:paraId="5E386388" w14:textId="7F53AD56" w:rsidR="0050059B" w:rsidRDefault="00786DF6" w:rsidP="0050059B">
      <w:pPr>
        <w:pStyle w:val="CuerpoA"/>
        <w:rPr>
          <w:lang w:val="en-GB"/>
        </w:rPr>
      </w:pPr>
      <w:hyperlink r:id="rId8" w:history="1">
        <w:r w:rsidR="00F941C8" w:rsidRPr="00211658">
          <w:rPr>
            <w:rStyle w:val="Hipervnculo"/>
            <w:lang w:val="en-GB"/>
          </w:rPr>
          <w:t>http://www.citethisforme.com/us/citation-generator/apa</w:t>
        </w:r>
      </w:hyperlink>
    </w:p>
    <w:p w14:paraId="1A241ABA" w14:textId="4358E883" w:rsidR="00F941C8" w:rsidRDefault="00F941C8" w:rsidP="0050059B">
      <w:pPr>
        <w:pStyle w:val="CuerpoA"/>
        <w:rPr>
          <w:lang w:val="en-GB"/>
        </w:rPr>
      </w:pPr>
    </w:p>
    <w:p w14:paraId="1CA488ED" w14:textId="77777777" w:rsidR="0050059B" w:rsidRPr="0050059B" w:rsidRDefault="0050059B" w:rsidP="0050059B">
      <w:pPr>
        <w:pStyle w:val="CuerpoA"/>
        <w:rPr>
          <w:lang w:val="en-GB"/>
        </w:rPr>
      </w:pPr>
    </w:p>
    <w:sectPr w:rsidR="0050059B" w:rsidRPr="0050059B">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010E" w14:textId="77777777" w:rsidR="00786DF6" w:rsidRDefault="00786DF6">
      <w:pPr>
        <w:spacing w:after="0" w:line="240" w:lineRule="auto"/>
      </w:pPr>
      <w:r>
        <w:separator/>
      </w:r>
    </w:p>
  </w:endnote>
  <w:endnote w:type="continuationSeparator" w:id="0">
    <w:p w14:paraId="1BD7661D" w14:textId="77777777" w:rsidR="00786DF6" w:rsidRDefault="0078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77F8" w14:textId="77777777" w:rsidR="00BF533D" w:rsidRDefault="00BF533D" w:rsidP="00FB6167">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63C5" w14:textId="23B79C6B" w:rsidR="00BF533D" w:rsidRPr="00FB6167" w:rsidRDefault="0077314C" w:rsidP="00FB6167">
    <w:pPr>
      <w:spacing w:after="0" w:line="240" w:lineRule="auto"/>
      <w:ind w:left="-142" w:firstLine="284"/>
      <w:jc w:val="right"/>
      <w:rPr>
        <w:rFonts w:ascii="Arial" w:hAnsi="Arial" w:cs="Arial"/>
        <w:sz w:val="16"/>
        <w:szCs w:val="16"/>
      </w:rPr>
    </w:pPr>
    <w:r>
      <w:rPr>
        <w:rStyle w:val="Ninguno"/>
        <w:rFonts w:ascii="Arial" w:hAnsi="Arial" w:cs="Arial"/>
        <w:sz w:val="16"/>
        <w:szCs w:val="16"/>
      </w:rPr>
      <w:t>BUCOLICO</w:t>
    </w:r>
    <w:r w:rsidR="00BF533D" w:rsidRPr="00FB6167">
      <w:rPr>
        <w:rStyle w:val="Ninguno"/>
        <w:rFonts w:ascii="Arial" w:hAnsi="Arial" w:cs="Arial"/>
        <w:sz w:val="16"/>
        <w:szCs w:val="16"/>
      </w:rPr>
      <w:t xml:space="preserve">: </w:t>
    </w:r>
    <w:r w:rsidR="00BF533D" w:rsidRPr="00FB6167">
      <w:rPr>
        <w:rFonts w:ascii="Arial" w:hAnsi="Arial" w:cs="Arial"/>
        <w:sz w:val="16"/>
        <w:szCs w:val="16"/>
      </w:rPr>
      <w:t>Project No. 20</w:t>
    </w:r>
    <w:r>
      <w:rPr>
        <w:rFonts w:ascii="Arial" w:hAnsi="Arial" w:cs="Arial"/>
        <w:sz w:val="16"/>
        <w:szCs w:val="16"/>
      </w:rPr>
      <w:t>20</w:t>
    </w:r>
    <w:r w:rsidR="00BF533D" w:rsidRPr="00FB6167">
      <w:rPr>
        <w:rFonts w:ascii="Arial" w:hAnsi="Arial" w:cs="Arial"/>
        <w:sz w:val="16"/>
        <w:szCs w:val="16"/>
      </w:rPr>
      <w:t>-1-</w:t>
    </w:r>
    <w:r>
      <w:rPr>
        <w:rFonts w:ascii="Arial" w:hAnsi="Arial" w:cs="Arial"/>
        <w:sz w:val="16"/>
        <w:szCs w:val="16"/>
      </w:rPr>
      <w:t>IT02</w:t>
    </w:r>
    <w:r w:rsidR="00BF533D" w:rsidRPr="00FB6167">
      <w:rPr>
        <w:rFonts w:ascii="Arial" w:hAnsi="Arial" w:cs="Arial"/>
        <w:sz w:val="16"/>
        <w:szCs w:val="16"/>
      </w:rPr>
      <w:t>-KA204-</w:t>
    </w:r>
    <w:r>
      <w:rPr>
        <w:rFonts w:ascii="Arial" w:hAnsi="Arial" w:cs="Arial"/>
        <w:sz w:val="16"/>
        <w:szCs w:val="16"/>
      </w:rPr>
      <w:t>079306</w:t>
    </w:r>
  </w:p>
  <w:p w14:paraId="14E0573C" w14:textId="77777777" w:rsidR="00BF533D" w:rsidRDefault="00BF533D">
    <w:pPr>
      <w:tabs>
        <w:tab w:val="center" w:pos="4252"/>
        <w:tab w:val="right" w:pos="8478"/>
      </w:tabs>
      <w:spacing w:after="0" w:line="240" w:lineRule="auto"/>
      <w:rPr>
        <w:rStyle w:val="Ninguno"/>
        <w:rFonts w:ascii="Arial" w:eastAsia="Arial" w:hAnsi="Arial" w:cs="Arial"/>
        <w:sz w:val="16"/>
        <w:szCs w:val="16"/>
      </w:rPr>
    </w:pPr>
  </w:p>
  <w:p w14:paraId="7D7F4407" w14:textId="77777777" w:rsidR="00BF533D" w:rsidRDefault="00BF533D">
    <w:pPr>
      <w:tabs>
        <w:tab w:val="center" w:pos="4252"/>
        <w:tab w:val="right" w:pos="8478"/>
      </w:tabs>
      <w:spacing w:after="0" w:line="240" w:lineRule="auto"/>
      <w:rPr>
        <w:rFonts w:ascii="Corbel" w:eastAsia="Corbel" w:hAnsi="Corbel" w:cs="Corbel"/>
        <w:b/>
        <w:bCs/>
        <w:sz w:val="16"/>
        <w:szCs w:val="16"/>
      </w:rPr>
    </w:pPr>
  </w:p>
  <w:p w14:paraId="1661B955" w14:textId="79A3CB06" w:rsidR="00BF533D" w:rsidRPr="00BA6463" w:rsidRDefault="004661A9" w:rsidP="00BA6463">
    <w:pPr>
      <w:pStyle w:val="Piedepgina"/>
      <w:jc w:val="center"/>
      <w:rPr>
        <w:rFonts w:ascii="Calibri Light" w:eastAsiaTheme="minorEastAsia" w:hAnsi="Calibri Light" w:cs="Calibri Light"/>
        <w:color w:val="595959" w:themeColor="text1" w:themeTint="A6"/>
        <w:sz w:val="16"/>
        <w:szCs w:val="20"/>
        <w:lang w:val="en-GB"/>
      </w:rPr>
    </w:pPr>
    <w:r>
      <w:rPr>
        <w:rFonts w:ascii="Calibri Light" w:hAnsi="Calibri Light" w:cs="Calibri Light"/>
        <w:color w:val="595959" w:themeColor="text1" w:themeTint="A6"/>
        <w:sz w:val="16"/>
        <w:szCs w:val="20"/>
        <w:lang w:val="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57E9" w14:textId="77777777" w:rsidR="004661A9" w:rsidRDefault="004661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F97B" w14:textId="77777777" w:rsidR="00786DF6" w:rsidRDefault="00786DF6">
      <w:pPr>
        <w:spacing w:after="0" w:line="240" w:lineRule="auto"/>
      </w:pPr>
      <w:r>
        <w:separator/>
      </w:r>
    </w:p>
  </w:footnote>
  <w:footnote w:type="continuationSeparator" w:id="0">
    <w:p w14:paraId="4133AB49" w14:textId="77777777" w:rsidR="00786DF6" w:rsidRDefault="00786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060A" w14:textId="77777777" w:rsidR="004661A9" w:rsidRDefault="004661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D71B" w14:textId="407EAB32" w:rsidR="00BF533D" w:rsidRDefault="00BF533D" w:rsidP="00FB6167">
    <w:pPr>
      <w:tabs>
        <w:tab w:val="center" w:pos="4252"/>
        <w:tab w:val="right" w:pos="8478"/>
      </w:tabs>
      <w:spacing w:after="0" w:line="240" w:lineRule="auto"/>
      <w:jc w:val="right"/>
    </w:pPr>
    <w:r>
      <w:rPr>
        <w:noProof/>
        <w:lang w:val="nl-BE" w:eastAsia="nl-BE"/>
      </w:rPr>
      <w:drawing>
        <wp:anchor distT="152400" distB="152400" distL="152400" distR="152400" simplePos="0" relativeHeight="251658240" behindDoc="1" locked="0" layoutInCell="1" allowOverlap="1" wp14:anchorId="60B0A9F6" wp14:editId="567A755B">
          <wp:simplePos x="0" y="0"/>
          <wp:positionH relativeFrom="page">
            <wp:posOffset>5305425</wp:posOffset>
          </wp:positionH>
          <wp:positionV relativeFrom="page">
            <wp:posOffset>247651</wp:posOffset>
          </wp:positionV>
          <wp:extent cx="1781175" cy="552450"/>
          <wp:effectExtent l="0" t="0" r="0" b="0"/>
          <wp:wrapNone/>
          <wp:docPr id="1073741825" name="officeArt object" descr="C:\Users\marija\Desktop\eu_flag_co_funded_pos_[rgb]_right.jpg"/>
          <wp:cNvGraphicFramePr/>
          <a:graphic xmlns:a="http://schemas.openxmlformats.org/drawingml/2006/main">
            <a:graphicData uri="http://schemas.openxmlformats.org/drawingml/2006/picture">
              <pic:pic xmlns:pic="http://schemas.openxmlformats.org/drawingml/2006/picture">
                <pic:nvPicPr>
                  <pic:cNvPr id="1073741825" name="image1.jpg" descr="C:\Users\marija\Desktop\eu_flag_co_funded_pos_[rgb]_right.jpg"/>
                  <pic:cNvPicPr>
                    <a:picLocks noChangeAspect="1"/>
                  </pic:cNvPicPr>
                </pic:nvPicPr>
                <pic:blipFill>
                  <a:blip r:embed="rId1"/>
                  <a:stretch>
                    <a:fillRect/>
                  </a:stretch>
                </pic:blipFill>
                <pic:spPr>
                  <a:xfrm>
                    <a:off x="0" y="0"/>
                    <a:ext cx="1781175" cy="55245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73B5" w14:textId="77777777" w:rsidR="004661A9" w:rsidRDefault="004661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B3652"/>
    <w:multiLevelType w:val="hybridMultilevel"/>
    <w:tmpl w:val="554A88FA"/>
    <w:lvl w:ilvl="0" w:tplc="B3A67B4A">
      <w:start w:val="3"/>
      <w:numFmt w:val="bullet"/>
      <w:lvlText w:val=""/>
      <w:lvlJc w:val="left"/>
      <w:pPr>
        <w:ind w:left="1170" w:hanging="360"/>
      </w:pPr>
      <w:rPr>
        <w:rFonts w:ascii="Symbol" w:eastAsia="Helvetica" w:hAnsi="Symbol" w:cs="Helvetica"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1" w15:restartNumberingAfterBreak="0">
    <w:nsid w:val="31E14007"/>
    <w:multiLevelType w:val="hybridMultilevel"/>
    <w:tmpl w:val="235AA86E"/>
    <w:lvl w:ilvl="0" w:tplc="B3A67B4A">
      <w:start w:val="3"/>
      <w:numFmt w:val="bullet"/>
      <w:lvlText w:val=""/>
      <w:lvlJc w:val="left"/>
      <w:pPr>
        <w:ind w:left="720" w:hanging="360"/>
      </w:pPr>
      <w:rPr>
        <w:rFonts w:ascii="Symbol" w:eastAsia="Helvetica" w:hAnsi="Symbol"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750327A"/>
    <w:multiLevelType w:val="multilevel"/>
    <w:tmpl w:val="48C2C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BC"/>
    <w:rsid w:val="00041761"/>
    <w:rsid w:val="000F3758"/>
    <w:rsid w:val="00140225"/>
    <w:rsid w:val="00212FCF"/>
    <w:rsid w:val="002618FD"/>
    <w:rsid w:val="00266888"/>
    <w:rsid w:val="003E23F5"/>
    <w:rsid w:val="0040404F"/>
    <w:rsid w:val="004661A9"/>
    <w:rsid w:val="004C7D03"/>
    <w:rsid w:val="0050059B"/>
    <w:rsid w:val="00510FE7"/>
    <w:rsid w:val="00573C2C"/>
    <w:rsid w:val="00581F4F"/>
    <w:rsid w:val="006425AF"/>
    <w:rsid w:val="006525BC"/>
    <w:rsid w:val="00672F56"/>
    <w:rsid w:val="00717454"/>
    <w:rsid w:val="0077314C"/>
    <w:rsid w:val="00786DF6"/>
    <w:rsid w:val="007B0967"/>
    <w:rsid w:val="00814FA6"/>
    <w:rsid w:val="00853004"/>
    <w:rsid w:val="00882DA7"/>
    <w:rsid w:val="009119F7"/>
    <w:rsid w:val="00BA371E"/>
    <w:rsid w:val="00BA6463"/>
    <w:rsid w:val="00BF533D"/>
    <w:rsid w:val="00C74062"/>
    <w:rsid w:val="00CD355B"/>
    <w:rsid w:val="00D415A6"/>
    <w:rsid w:val="00D74F8E"/>
    <w:rsid w:val="00E46329"/>
    <w:rsid w:val="00E7027A"/>
    <w:rsid w:val="00F306C2"/>
    <w:rsid w:val="00F40C89"/>
    <w:rsid w:val="00F941C8"/>
    <w:rsid w:val="00FB61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11E14"/>
  <w15:docId w15:val="{F74F9031-D6A9-4B91-A9AB-9369219D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character" w:customStyle="1" w:styleId="Ninguno">
    <w:name w:val="Ninguno"/>
  </w:style>
  <w:style w:type="character" w:customStyle="1" w:styleId="Hyperlink0">
    <w:name w:val="Hyperlink.0"/>
    <w:basedOn w:val="Ninguno"/>
    <w:rPr>
      <w:rFonts w:ascii="Arial" w:hAnsi="Arial"/>
      <w:color w:val="0563C1"/>
      <w:sz w:val="16"/>
      <w:szCs w:val="16"/>
      <w:u w:val="single" w:color="0563C1"/>
    </w:rPr>
  </w:style>
  <w:style w:type="paragraph" w:customStyle="1" w:styleId="CuerpoA">
    <w:name w:val="Cuerpo A"/>
    <w:rPr>
      <w:rFonts w:ascii="Helvetica" w:eastAsia="Helvetica" w:hAnsi="Helvetica" w:cs="Helvetica"/>
      <w:color w:val="000000"/>
      <w:sz w:val="22"/>
      <w:szCs w:val="22"/>
      <w:u w:color="000000"/>
      <w:lang w:val="es-ES_tradnl"/>
    </w:rPr>
  </w:style>
  <w:style w:type="paragraph" w:customStyle="1" w:styleId="PoromisinA">
    <w:name w:val="Por omisión A"/>
    <w:rPr>
      <w:rFonts w:ascii="Helvetica" w:hAnsi="Helvetica" w:cs="Arial Unicode MS"/>
      <w:color w:val="000000"/>
      <w:sz w:val="22"/>
      <w:szCs w:val="22"/>
      <w:u w:color="000000"/>
      <w:lang w:val="en-US"/>
    </w:rPr>
  </w:style>
  <w:style w:type="character" w:customStyle="1" w:styleId="NingunoA">
    <w:name w:val="Ninguno A"/>
    <w:basedOn w:val="Ninguno"/>
    <w:rPr>
      <w:lang w:val="es-ES_tradnl"/>
    </w:rPr>
  </w:style>
  <w:style w:type="paragraph" w:customStyle="1" w:styleId="Cuerpo">
    <w:name w:val="Cuerpo"/>
    <w:pPr>
      <w:spacing w:after="160" w:line="259" w:lineRule="auto"/>
    </w:pPr>
    <w:rPr>
      <w:rFonts w:ascii="Calibri" w:eastAsia="Calibri" w:hAnsi="Calibri" w:cs="Calibri"/>
      <w:color w:val="000000"/>
      <w:sz w:val="22"/>
      <w:szCs w:val="22"/>
      <w:u w:color="000000"/>
      <w:lang w:val="en-US"/>
    </w:rPr>
  </w:style>
  <w:style w:type="paragraph" w:styleId="Encabezado">
    <w:name w:val="header"/>
    <w:basedOn w:val="Normal"/>
    <w:link w:val="EncabezadoCar"/>
    <w:uiPriority w:val="99"/>
    <w:unhideWhenUsed/>
    <w:rsid w:val="00CD35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355B"/>
    <w:rPr>
      <w:rFonts w:ascii="Calibri" w:eastAsia="Calibri" w:hAnsi="Calibri" w:cs="Calibri"/>
      <w:color w:val="000000"/>
      <w:sz w:val="22"/>
      <w:szCs w:val="22"/>
      <w:u w:color="000000"/>
      <w:lang w:val="en-US"/>
    </w:rPr>
  </w:style>
  <w:style w:type="paragraph" w:styleId="Piedepgina">
    <w:name w:val="footer"/>
    <w:basedOn w:val="Normal"/>
    <w:link w:val="PiedepginaCar"/>
    <w:uiPriority w:val="99"/>
    <w:unhideWhenUsed/>
    <w:rsid w:val="00CD35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355B"/>
    <w:rPr>
      <w:rFonts w:ascii="Calibri" w:eastAsia="Calibri" w:hAnsi="Calibri" w:cs="Calibri"/>
      <w:color w:val="000000"/>
      <w:sz w:val="22"/>
      <w:szCs w:val="22"/>
      <w:u w:color="000000"/>
      <w:lang w:val="en-US"/>
    </w:rPr>
  </w:style>
  <w:style w:type="paragraph" w:styleId="Prrafodelista">
    <w:name w:val="List Paragraph"/>
    <w:basedOn w:val="Normal"/>
    <w:uiPriority w:val="34"/>
    <w:qFormat/>
    <w:rsid w:val="0050059B"/>
    <w:pPr>
      <w:ind w:left="720"/>
      <w:contextualSpacing/>
    </w:pPr>
  </w:style>
  <w:style w:type="character" w:styleId="Textoennegrita">
    <w:name w:val="Strong"/>
    <w:basedOn w:val="Fuentedeprrafopredeter"/>
    <w:uiPriority w:val="22"/>
    <w:qFormat/>
    <w:rsid w:val="00510FE7"/>
    <w:rPr>
      <w:b/>
      <w:bCs/>
    </w:rPr>
  </w:style>
  <w:style w:type="character" w:styleId="Mencinsinresolver">
    <w:name w:val="Unresolved Mention"/>
    <w:basedOn w:val="Fuentedeprrafopredeter"/>
    <w:uiPriority w:val="99"/>
    <w:semiHidden/>
    <w:unhideWhenUsed/>
    <w:rsid w:val="00BA371E"/>
    <w:rPr>
      <w:color w:val="605E5C"/>
      <w:shd w:val="clear" w:color="auto" w:fill="E1DFDD"/>
    </w:rPr>
  </w:style>
  <w:style w:type="character" w:customStyle="1" w:styleId="artikelversie">
    <w:name w:val="artikelversie"/>
    <w:basedOn w:val="Fuentedeprrafopredeter"/>
    <w:rsid w:val="00D74F8E"/>
  </w:style>
  <w:style w:type="table" w:styleId="Tablaconcuadrcula">
    <w:name w:val="Table Grid"/>
    <w:basedOn w:val="Tablanormal"/>
    <w:uiPriority w:val="59"/>
    <w:rsid w:val="004661A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cs-CZ"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873541">
      <w:bodyDiv w:val="1"/>
      <w:marLeft w:val="0"/>
      <w:marRight w:val="0"/>
      <w:marTop w:val="0"/>
      <w:marBottom w:val="0"/>
      <w:divBdr>
        <w:top w:val="none" w:sz="0" w:space="0" w:color="auto"/>
        <w:left w:val="none" w:sz="0" w:space="0" w:color="auto"/>
        <w:bottom w:val="none" w:sz="0" w:space="0" w:color="auto"/>
        <w:right w:val="none" w:sz="0" w:space="0" w:color="auto"/>
      </w:divBdr>
    </w:div>
    <w:div w:id="1282881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ethisforme.com/us/citation-generator/ap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ata-onderwijs.vlaanderen.be/edulex/document.aspx?docid=1391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2387</Words>
  <Characters>13132</Characters>
  <Application>Microsoft Office Word</Application>
  <DocSecurity>0</DocSecurity>
  <Lines>109</Lines>
  <Paragraphs>30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Isabel Herranz</dc:creator>
  <cp:lastModifiedBy>dani gm</cp:lastModifiedBy>
  <cp:revision>21</cp:revision>
  <dcterms:created xsi:type="dcterms:W3CDTF">2019-01-22T23:01:00Z</dcterms:created>
  <dcterms:modified xsi:type="dcterms:W3CDTF">2024-02-26T15:34:00Z</dcterms:modified>
</cp:coreProperties>
</file>