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A6C11" w14:textId="75D0ACF3" w:rsidR="006525BC" w:rsidRPr="000052C5" w:rsidRDefault="000052C5">
      <w:pPr>
        <w:pStyle w:val="CuerpoA"/>
        <w:jc w:val="center"/>
        <w:rPr>
          <w:b/>
          <w:bCs/>
        </w:rPr>
      </w:pPr>
      <w:r>
        <w:rPr>
          <w:b/>
          <w:bCs/>
        </w:rPr>
        <w:t xml:space="preserve">V </w:t>
      </w:r>
    </w:p>
    <w:p w14:paraId="5B309739" w14:textId="77777777" w:rsidR="006525BC" w:rsidRDefault="006525BC">
      <w:pPr>
        <w:pStyle w:val="CuerpoA"/>
        <w:jc w:val="center"/>
        <w:rPr>
          <w:b/>
          <w:bCs/>
          <w:lang w:val="en-US"/>
        </w:rPr>
      </w:pPr>
    </w:p>
    <w:p w14:paraId="722657BF" w14:textId="0C334BDA" w:rsidR="006525BC" w:rsidRDefault="00573C2C">
      <w:pPr>
        <w:pStyle w:val="CuerpoA"/>
        <w:jc w:val="center"/>
        <w:rPr>
          <w:rStyle w:val="Ninguno"/>
          <w:b/>
          <w:bCs/>
          <w:sz w:val="28"/>
          <w:szCs w:val="28"/>
          <w:lang w:val="en-US"/>
        </w:rPr>
      </w:pPr>
      <w:r>
        <w:rPr>
          <w:b/>
          <w:bCs/>
          <w:sz w:val="28"/>
          <w:szCs w:val="28"/>
          <w:lang w:val="en-US"/>
        </w:rPr>
        <w:t xml:space="preserve">RESOURCES – LEGAL FRAMEWORK FOR TRAINING OF ADULTS </w:t>
      </w:r>
      <w:r w:rsidR="009119F7">
        <w:rPr>
          <w:b/>
          <w:bCs/>
          <w:sz w:val="28"/>
          <w:szCs w:val="28"/>
          <w:lang w:val="en-US"/>
        </w:rPr>
        <w:t xml:space="preserve">IN </w:t>
      </w:r>
      <w:r>
        <w:rPr>
          <w:b/>
          <w:bCs/>
          <w:sz w:val="28"/>
          <w:szCs w:val="28"/>
          <w:lang w:val="en-US"/>
        </w:rPr>
        <w:t xml:space="preserve">PARTICIPATING </w:t>
      </w:r>
      <w:r w:rsidR="00FB6167">
        <w:rPr>
          <w:b/>
          <w:bCs/>
          <w:sz w:val="28"/>
          <w:szCs w:val="28"/>
          <w:lang w:val="en-US"/>
        </w:rPr>
        <w:t>EU COUNTRIES</w:t>
      </w:r>
    </w:p>
    <w:p w14:paraId="440125C2" w14:textId="77777777" w:rsidR="006525BC" w:rsidRDefault="006525BC">
      <w:pPr>
        <w:pStyle w:val="CuerpoA"/>
        <w:rPr>
          <w:sz w:val="20"/>
          <w:szCs w:val="20"/>
          <w:lang w:val="en-US"/>
        </w:rPr>
      </w:pPr>
    </w:p>
    <w:p w14:paraId="7B12688D" w14:textId="77777777" w:rsidR="006525BC" w:rsidRDefault="006525BC">
      <w:pPr>
        <w:pStyle w:val="CuerpoA"/>
        <w:rPr>
          <w:sz w:val="20"/>
          <w:szCs w:val="20"/>
          <w:lang w:val="en-US"/>
        </w:rPr>
      </w:pPr>
    </w:p>
    <w:p w14:paraId="0C41EAB4" w14:textId="77777777" w:rsidR="006525BC" w:rsidRDefault="00FB6167">
      <w:pPr>
        <w:pStyle w:val="PoromisinA"/>
        <w:jc w:val="center"/>
        <w:rPr>
          <w:rStyle w:val="Ninguno"/>
          <w:b/>
          <w:bCs/>
          <w:sz w:val="28"/>
          <w:szCs w:val="28"/>
          <w:lang w:val="pt-PT"/>
        </w:rPr>
      </w:pPr>
      <w:r>
        <w:rPr>
          <w:rStyle w:val="Ninguno"/>
          <w:b/>
          <w:bCs/>
          <w:sz w:val="24"/>
          <w:szCs w:val="24"/>
          <w:lang w:val="pt-PT"/>
        </w:rPr>
        <w:t xml:space="preserve">TEMPLATE </w:t>
      </w:r>
    </w:p>
    <w:p w14:paraId="57D5AA12" w14:textId="77777777" w:rsidR="006525BC" w:rsidRDefault="006525BC">
      <w:pPr>
        <w:pStyle w:val="CuerpoA"/>
        <w:rPr>
          <w:lang w:val="en-US"/>
        </w:rPr>
      </w:pPr>
    </w:p>
    <w:tbl>
      <w:tblPr>
        <w:tblStyle w:val="TableNormal1"/>
        <w:tblW w:w="83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23"/>
        <w:gridCol w:w="5057"/>
      </w:tblGrid>
      <w:tr w:rsidR="006525BC" w14:paraId="33DD08F6" w14:textId="77777777" w:rsidTr="00140225">
        <w:trPr>
          <w:trHeight w:val="57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A5499" w14:textId="1E051872" w:rsidR="006525BC" w:rsidRDefault="00573C2C" w:rsidP="00573C2C">
            <w:pPr>
              <w:pStyle w:val="CuerpoA"/>
              <w:widowControl w:val="0"/>
            </w:pPr>
            <w:r>
              <w:rPr>
                <w:rStyle w:val="NingunoA"/>
                <w:b/>
                <w:bCs/>
                <w:sz w:val="24"/>
                <w:szCs w:val="24"/>
              </w:rPr>
              <w:t>EU COUNTRY OF PARTNER</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C462D" w14:textId="1D6B92FE" w:rsidR="006525BC" w:rsidRPr="001230B4" w:rsidRDefault="001230B4">
            <w:pPr>
              <w:rPr>
                <w:rFonts w:eastAsia="MS Mincho"/>
                <w:lang w:val="el-GR" w:eastAsia="ja-JP"/>
              </w:rPr>
            </w:pPr>
            <w:r>
              <w:rPr>
                <w:rFonts w:eastAsia="MS Mincho"/>
                <w:lang w:eastAsia="ja-JP"/>
              </w:rPr>
              <w:t xml:space="preserve">Greece - </w:t>
            </w:r>
            <w:r>
              <w:rPr>
                <w:rFonts w:eastAsia="MS Mincho"/>
                <w:lang w:val="el-GR" w:eastAsia="ja-JP"/>
              </w:rPr>
              <w:t>Ελλάδα</w:t>
            </w:r>
          </w:p>
        </w:tc>
      </w:tr>
      <w:tr w:rsidR="006525BC" w14:paraId="3882CC8A" w14:textId="77777777" w:rsidTr="00140225">
        <w:trPr>
          <w:trHeight w:val="49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D8C53" w14:textId="21E67BCE" w:rsidR="006525BC" w:rsidRDefault="00212FCF">
            <w:pPr>
              <w:suppressAutoHyphens/>
              <w:spacing w:after="0" w:line="240" w:lineRule="auto"/>
              <w:outlineLvl w:val="0"/>
            </w:pPr>
            <w:r>
              <w:rPr>
                <w:rFonts w:ascii="Helvetica" w:eastAsia="Cambria" w:hAnsi="Helvetica" w:cs="Cambria"/>
                <w:b/>
                <w:bCs/>
                <w:sz w:val="20"/>
                <w:szCs w:val="20"/>
              </w:rPr>
              <w:t xml:space="preserve">Language </w:t>
            </w:r>
            <w:r w:rsidR="00E7027A">
              <w:rPr>
                <w:rFonts w:ascii="Helvetica" w:eastAsia="Cambria" w:hAnsi="Helvetica" w:cs="Cambria"/>
                <w:b/>
                <w:bCs/>
                <w:sz w:val="20"/>
                <w:szCs w:val="20"/>
              </w:rPr>
              <w:t>of partner</w:t>
            </w:r>
          </w:p>
          <w:p w14:paraId="39ED2684" w14:textId="77777777" w:rsidR="006525BC" w:rsidRDefault="006525BC">
            <w:pPr>
              <w:suppressAutoHyphens/>
              <w:spacing w:after="0" w:line="240" w:lineRule="auto"/>
              <w:outlineLvl w:val="0"/>
            </w:pP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B720A" w14:textId="58F167DE" w:rsidR="006525BC" w:rsidRPr="001230B4" w:rsidRDefault="001230B4">
            <w:pPr>
              <w:rPr>
                <w:lang w:val="el-GR"/>
              </w:rPr>
            </w:pPr>
            <w:r>
              <w:t xml:space="preserve">Greek - </w:t>
            </w:r>
            <w:r>
              <w:rPr>
                <w:lang w:val="el-GR"/>
              </w:rPr>
              <w:t>Ελληνικά</w:t>
            </w:r>
          </w:p>
        </w:tc>
      </w:tr>
      <w:tr w:rsidR="002618FD" w14:paraId="103A8A45" w14:textId="77777777" w:rsidTr="00140225">
        <w:trPr>
          <w:trHeight w:val="49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4D20C" w14:textId="19E75AA7" w:rsidR="002618FD" w:rsidRDefault="00573C2C" w:rsidP="00573C2C">
            <w:pPr>
              <w:pStyle w:val="Cuerpo"/>
              <w:suppressAutoHyphens/>
              <w:spacing w:after="0" w:line="240" w:lineRule="auto"/>
              <w:outlineLvl w:val="0"/>
              <w:rPr>
                <w:rStyle w:val="Ninguno"/>
                <w:rFonts w:ascii="Helvetica" w:hAnsi="Helvetica"/>
                <w:b/>
                <w:bCs/>
                <w:sz w:val="20"/>
                <w:szCs w:val="20"/>
              </w:rPr>
            </w:pPr>
            <w:r>
              <w:rPr>
                <w:rStyle w:val="Ninguno"/>
                <w:rFonts w:ascii="Helvetica" w:hAnsi="Helvetica"/>
                <w:b/>
                <w:bCs/>
                <w:sz w:val="20"/>
                <w:szCs w:val="20"/>
              </w:rPr>
              <w:t>Title legal framework of formal adult education in English</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B0062" w14:textId="38041D36" w:rsidR="002618FD" w:rsidRPr="00E70C52" w:rsidRDefault="00E70C52">
            <w:r w:rsidRPr="00E70C52">
              <w:t>Law 3879/2010: Development of Lifelong Learning and other provisions.</w:t>
            </w:r>
          </w:p>
        </w:tc>
      </w:tr>
      <w:tr w:rsidR="00573C2C" w:rsidRPr="00725AFF" w14:paraId="6C300F3B" w14:textId="77777777" w:rsidTr="00140225">
        <w:trPr>
          <w:trHeight w:val="437"/>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96F48" w14:textId="0CB9980D" w:rsidR="00573C2C" w:rsidRDefault="00573C2C" w:rsidP="00573C2C">
            <w:pPr>
              <w:pStyle w:val="Cuerpo"/>
              <w:suppressAutoHyphens/>
              <w:spacing w:after="0" w:line="240" w:lineRule="auto"/>
              <w:outlineLvl w:val="0"/>
              <w:rPr>
                <w:rStyle w:val="Ninguno"/>
                <w:rFonts w:ascii="Helvetica" w:hAnsi="Helvetica"/>
                <w:b/>
                <w:bCs/>
                <w:sz w:val="20"/>
                <w:szCs w:val="20"/>
              </w:rPr>
            </w:pPr>
            <w:r>
              <w:rPr>
                <w:rStyle w:val="Ninguno"/>
                <w:rFonts w:ascii="Helvetica" w:hAnsi="Helvetica"/>
                <w:b/>
                <w:bCs/>
                <w:sz w:val="20"/>
                <w:szCs w:val="20"/>
              </w:rPr>
              <w:t>Title legal framework of formal adult education in the original language</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EF1D4" w14:textId="5EC925A8" w:rsidR="00573C2C" w:rsidRPr="00E70C52" w:rsidRDefault="00E70C52">
            <w:pPr>
              <w:rPr>
                <w:lang w:val="el-GR"/>
              </w:rPr>
            </w:pPr>
            <w:r w:rsidRPr="00E70C52">
              <w:rPr>
                <w:lang w:val="el-GR"/>
              </w:rPr>
              <w:t>Νόμος 3879/2010 : Ανάπτυξη της Δια Βίου Μάθησης και λοιπές διατάξεις.</w:t>
            </w:r>
          </w:p>
        </w:tc>
      </w:tr>
      <w:tr w:rsidR="006525BC" w:rsidRPr="008F10CE" w14:paraId="30F6FCBF" w14:textId="77777777" w:rsidTr="00140225">
        <w:trPr>
          <w:trHeight w:val="547"/>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9746E" w14:textId="5B46F1F0" w:rsidR="006525BC" w:rsidRDefault="006425AF" w:rsidP="00672F56">
            <w:pPr>
              <w:suppressAutoHyphens/>
              <w:spacing w:after="0" w:line="240" w:lineRule="auto"/>
              <w:outlineLvl w:val="0"/>
            </w:pPr>
            <w:r w:rsidRPr="00266888">
              <w:rPr>
                <w:rFonts w:ascii="Helvetica" w:eastAsia="Cambria" w:hAnsi="Helvetica" w:cs="Cambria"/>
                <w:b/>
                <w:bCs/>
                <w:sz w:val="20"/>
                <w:szCs w:val="20"/>
              </w:rPr>
              <w:t>Summary</w:t>
            </w:r>
            <w:r w:rsidR="00672F56">
              <w:rPr>
                <w:rFonts w:ascii="Helvetica" w:eastAsia="Cambria" w:hAnsi="Helvetica" w:cs="Cambria"/>
                <w:b/>
                <w:bCs/>
                <w:sz w:val="20"/>
                <w:szCs w:val="20"/>
              </w:rPr>
              <w:t xml:space="preserve"> </w:t>
            </w:r>
            <w:r w:rsidR="00672F56">
              <w:rPr>
                <w:rStyle w:val="Ninguno"/>
                <w:rFonts w:ascii="Helvetica" w:hAnsi="Helvetica"/>
                <w:b/>
                <w:bCs/>
                <w:sz w:val="20"/>
                <w:szCs w:val="20"/>
              </w:rPr>
              <w:t xml:space="preserve">of </w:t>
            </w:r>
            <w:r w:rsidR="00E7027A">
              <w:rPr>
                <w:rStyle w:val="Ninguno"/>
                <w:rFonts w:ascii="Helvetica" w:hAnsi="Helvetica"/>
                <w:b/>
                <w:bCs/>
                <w:sz w:val="20"/>
                <w:szCs w:val="20"/>
              </w:rPr>
              <w:t xml:space="preserve">framework for </w:t>
            </w:r>
            <w:r w:rsidR="00672F56">
              <w:rPr>
                <w:rStyle w:val="Ninguno"/>
                <w:rFonts w:ascii="Helvetica" w:hAnsi="Helvetica"/>
                <w:b/>
                <w:bCs/>
                <w:sz w:val="20"/>
                <w:szCs w:val="20"/>
              </w:rPr>
              <w:t>formal adult education</w:t>
            </w:r>
            <w:r w:rsidR="002618FD">
              <w:rPr>
                <w:rFonts w:ascii="Helvetica" w:eastAsia="Cambria" w:hAnsi="Helvetica" w:cs="Cambria"/>
                <w:b/>
                <w:bCs/>
                <w:sz w:val="20"/>
                <w:szCs w:val="20"/>
              </w:rPr>
              <w:t xml:space="preserve"> </w:t>
            </w:r>
            <w:r w:rsidR="00FB6167">
              <w:rPr>
                <w:rFonts w:ascii="Helvetica" w:eastAsia="Cambria" w:hAnsi="Helvetica" w:cs="Cambria"/>
                <w:b/>
                <w:bCs/>
                <w:sz w:val="20"/>
                <w:szCs w:val="20"/>
              </w:rPr>
              <w:t xml:space="preserve">in English (3.000 </w:t>
            </w:r>
            <w:r w:rsidR="00FB6167" w:rsidRPr="007B0967">
              <w:rPr>
                <w:rFonts w:ascii="Helvetica" w:eastAsia="Cambria" w:hAnsi="Helvetica" w:cs="Cambria"/>
                <w:bCs/>
                <w:sz w:val="20"/>
                <w:szCs w:val="20"/>
              </w:rPr>
              <w:t>characters max</w:t>
            </w:r>
            <w:r w:rsidR="00672F56">
              <w:rPr>
                <w:rFonts w:ascii="Helvetica" w:eastAsia="Cambria" w:hAnsi="Helvetica" w:cs="Cambria"/>
                <w:bCs/>
                <w:sz w:val="20"/>
                <w:szCs w:val="20"/>
              </w:rPr>
              <w:t>imum</w:t>
            </w:r>
            <w:r w:rsidR="00FB6167" w:rsidRPr="007B0967">
              <w:rPr>
                <w:rFonts w:ascii="Helvetica" w:eastAsia="Cambria" w:hAnsi="Helvetica" w:cs="Cambria"/>
                <w:bCs/>
                <w:sz w:val="20"/>
                <w:szCs w:val="20"/>
              </w:rPr>
              <w:t>)</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183FF" w14:textId="1429B7CF" w:rsidR="00E70C52" w:rsidRDefault="00E70C52" w:rsidP="00E70C52">
            <w:r w:rsidRPr="00725AFF">
              <w:t>Greece does not have a long tradition in offering non-formal education to adults. With the accession of the country to the European Economic Community (EEC) in 1981, the interest and supply of this form of education increased significantly in order to improve the skills of its workforce. Since 2000, the implementation of new policies and initiatives, integrated into the policy for lifelong learning, covers different forms of education and training that allow adults to develop and reorient their education based on their different individual needs.</w:t>
            </w:r>
          </w:p>
          <w:p w14:paraId="5D91BF74" w14:textId="77777777" w:rsidR="00E70C52" w:rsidRDefault="00E70C52" w:rsidP="00E70C52">
            <w:r>
              <w:t>Based on this framework, the holistic concept of general adult education includes all organized learning activities (formal and non-formal) aimed at adults and seeking (Law 3879/2010):</w:t>
            </w:r>
          </w:p>
          <w:p w14:paraId="3B6A9B9C" w14:textId="77777777" w:rsidR="00E70C52" w:rsidRDefault="00E70C52" w:rsidP="00E70C52">
            <w:r>
              <w:t>• To enrich their knowledge</w:t>
            </w:r>
          </w:p>
          <w:p w14:paraId="03E07AAE" w14:textId="77777777" w:rsidR="00E70C52" w:rsidRDefault="00E70C52" w:rsidP="00E70C52">
            <w:r>
              <w:t>• To develop their skills and abilities</w:t>
            </w:r>
          </w:p>
          <w:p w14:paraId="55CF11DE" w14:textId="77777777" w:rsidR="00E70C52" w:rsidRDefault="00E70C52" w:rsidP="00E70C52">
            <w:r>
              <w:t>• To develop their personality</w:t>
            </w:r>
          </w:p>
          <w:p w14:paraId="03ED5562" w14:textId="77777777" w:rsidR="00E70C52" w:rsidRDefault="00E70C52" w:rsidP="00E70C52">
            <w:r>
              <w:t>• To become active citizens.</w:t>
            </w:r>
          </w:p>
          <w:p w14:paraId="0E675A99" w14:textId="42F13B03" w:rsidR="00E70C52" w:rsidRDefault="00E70C52" w:rsidP="00E70C52">
            <w:r>
              <w:t>General adult education has been adopted by a large number of educational institutions that are fully or partially subsidized by the state.</w:t>
            </w:r>
          </w:p>
          <w:p w14:paraId="02BAC0EB" w14:textId="77777777" w:rsidR="00E70C52" w:rsidRDefault="00E70C52" w:rsidP="00E70C52"/>
          <w:p w14:paraId="096C85F6" w14:textId="2E0B4DF7" w:rsidR="00E70C52" w:rsidRDefault="00E70C52" w:rsidP="00E70C52">
            <w:r>
              <w:lastRenderedPageBreak/>
              <w:t xml:space="preserve">The </w:t>
            </w:r>
            <w:r w:rsidRPr="00E70C52">
              <w:rPr>
                <w:b/>
                <w:bCs/>
              </w:rPr>
              <w:t>General Secretariat of Vocational Education, Training, Lifelong Learning and Youth of the Ministry of Education and Religions</w:t>
            </w:r>
            <w:r>
              <w:t>, as reconstituted by Law 4763/2020, is the pre-eminently competent thematic Secretariat of the Ministry of Education and Religions for Education and Training.</w:t>
            </w:r>
          </w:p>
          <w:p w14:paraId="235BE332" w14:textId="77777777" w:rsidR="00E70C52" w:rsidRDefault="00E70C52" w:rsidP="00E70C52">
            <w:r>
              <w:t>There are also various organizations operating as legal entities under public and / or private law and which are controlled by the Ministry of Education:</w:t>
            </w:r>
          </w:p>
          <w:p w14:paraId="1727AAD1" w14:textId="77777777" w:rsidR="00E70C52" w:rsidRDefault="00E70C52" w:rsidP="00E70C52">
            <w:r>
              <w:t>1. The Foundation for Youth and Lifelong Learning.</w:t>
            </w:r>
          </w:p>
          <w:p w14:paraId="67D0C97F" w14:textId="77777777" w:rsidR="00E70C52" w:rsidRDefault="00E70C52" w:rsidP="00E70C52">
            <w:r>
              <w:t>2. The National Organization for the Certification of Vocational Qualifications and Vocational Guidance.</w:t>
            </w:r>
          </w:p>
          <w:p w14:paraId="4FCF0878" w14:textId="77777777" w:rsidR="00E70C52" w:rsidRDefault="00E70C52" w:rsidP="00E70C52">
            <w:r>
              <w:t>At the same time, both initial and continuing vocational education and training are also provided by the Ministry of Labor and Social Affairs as well as other Ministries.</w:t>
            </w:r>
          </w:p>
          <w:p w14:paraId="5484BCAF" w14:textId="77777777" w:rsidR="00E70C52" w:rsidRDefault="00E70C52" w:rsidP="00E70C52">
            <w:r>
              <w:t>Socio-cultural education for adults is offered by municipalities and private providers.</w:t>
            </w:r>
          </w:p>
          <w:p w14:paraId="03475E4B" w14:textId="77777777" w:rsidR="00E70C52" w:rsidRDefault="00E70C52" w:rsidP="00E70C52">
            <w:r>
              <w:t>Public adult education and training is provided free of charge and is accessible to all.</w:t>
            </w:r>
          </w:p>
          <w:p w14:paraId="773F3B72" w14:textId="664584BE" w:rsidR="00E70C52" w:rsidRDefault="00E70C52" w:rsidP="008F10CE">
            <w:r>
              <w:t>Bodies:</w:t>
            </w:r>
          </w:p>
          <w:p w14:paraId="4741D3D8" w14:textId="7CA8EAA8" w:rsidR="008F10CE" w:rsidRPr="008F10CE" w:rsidRDefault="008F10CE" w:rsidP="008F10CE">
            <w:r w:rsidRPr="008F10CE">
              <w:t>The Ministry of Education and Religions oversees a number of public bodies that provide adult education and training:</w:t>
            </w:r>
          </w:p>
          <w:p w14:paraId="4368F1BE" w14:textId="77777777" w:rsidR="008F10CE" w:rsidRPr="008F10CE" w:rsidRDefault="008F10CE" w:rsidP="008F10CE">
            <w:pPr>
              <w:pStyle w:val="Prrafodelista"/>
              <w:numPr>
                <w:ilvl w:val="0"/>
                <w:numId w:val="6"/>
              </w:numPr>
            </w:pPr>
            <w:r w:rsidRPr="004E4FCD">
              <w:rPr>
                <w:b/>
                <w:bCs/>
              </w:rPr>
              <w:t>Second Chance Schools</w:t>
            </w:r>
            <w:r w:rsidRPr="008F10CE">
              <w:t>, for adults who have not completed the compulsory education. There are 66 Second Chance Schools (and 22 Departments) and 12 Second Chance Schools operating within penitentiaries.</w:t>
            </w:r>
          </w:p>
          <w:p w14:paraId="2C0ECB8F" w14:textId="77777777" w:rsidR="008F10CE" w:rsidRPr="008F10CE" w:rsidRDefault="008F10CE" w:rsidP="008F10CE">
            <w:pPr>
              <w:pStyle w:val="Prrafodelista"/>
              <w:numPr>
                <w:ilvl w:val="0"/>
                <w:numId w:val="6"/>
              </w:numPr>
            </w:pPr>
            <w:r w:rsidRPr="004E4FCD">
              <w:rPr>
                <w:b/>
                <w:bCs/>
              </w:rPr>
              <w:t>Vocational Training Institutes</w:t>
            </w:r>
            <w:r w:rsidRPr="008F10CE">
              <w:t>, which offer initial vocational training to graduates of formal, non-compulsory secondary education. There are 126 public IEKs of the Ministry of Education and Religions.</w:t>
            </w:r>
          </w:p>
          <w:p w14:paraId="4EA3F601" w14:textId="77777777" w:rsidR="008F10CE" w:rsidRPr="008F10CE" w:rsidRDefault="008F10CE" w:rsidP="008F10CE">
            <w:pPr>
              <w:pStyle w:val="Prrafodelista"/>
              <w:numPr>
                <w:ilvl w:val="0"/>
                <w:numId w:val="6"/>
              </w:numPr>
            </w:pPr>
            <w:r w:rsidRPr="004E4FCD">
              <w:rPr>
                <w:b/>
                <w:bCs/>
              </w:rPr>
              <w:t>Public Lifelong Learning Centers</w:t>
            </w:r>
            <w:r w:rsidRPr="008F10CE">
              <w:t xml:space="preserve"> (KDBM), which can be established to offer continuing vocational training, retraining, skills upgrading, general adult education and counseling and vocational guidance (Law 4763/2020 creates the framework for the establishment, licensing and operation of. </w:t>
            </w:r>
            <w:r w:rsidRPr="008F10CE">
              <w:lastRenderedPageBreak/>
              <w:t>Under the previous institutional framework, there were no genuine public lifelong learning structures, but lifelong learning programs were implemented at the municipal level with funding from EU resources).</w:t>
            </w:r>
          </w:p>
          <w:p w14:paraId="03216207" w14:textId="640CFD5F" w:rsidR="008F10CE" w:rsidRPr="008F10CE" w:rsidRDefault="008F10CE" w:rsidP="008F10CE">
            <w:pPr>
              <w:pStyle w:val="Prrafodelista"/>
              <w:numPr>
                <w:ilvl w:val="0"/>
                <w:numId w:val="6"/>
              </w:numPr>
            </w:pPr>
            <w:r w:rsidRPr="004E4FCD">
              <w:rPr>
                <w:b/>
                <w:bCs/>
              </w:rPr>
              <w:t xml:space="preserve">Training and Lifelong Learning Centers of </w:t>
            </w:r>
            <w:r w:rsidR="004E4FCD" w:rsidRPr="004E4FCD">
              <w:rPr>
                <w:rFonts w:eastAsia="MS Mincho"/>
                <w:b/>
                <w:bCs/>
                <w:lang w:eastAsia="ja-JP"/>
              </w:rPr>
              <w:t>Higher Education Institutes</w:t>
            </w:r>
            <w:r w:rsidR="004E4FCD">
              <w:rPr>
                <w:rFonts w:eastAsia="MS Mincho"/>
                <w:lang w:eastAsia="ja-JP"/>
              </w:rPr>
              <w:t xml:space="preserve"> (</w:t>
            </w:r>
            <w:r w:rsidRPr="008F10CE">
              <w:t>HEIs</w:t>
            </w:r>
            <w:r w:rsidR="004E4FCD">
              <w:t>- Universities)</w:t>
            </w:r>
            <w:r w:rsidRPr="008F10CE">
              <w:t>, which are units of the Institutions that ensure the coordination and interdisciplinary cooperation in the development of training programs, continuing education, training and in general lifelong learning. KEDIVIM operates in 22 Institutions.</w:t>
            </w:r>
          </w:p>
          <w:p w14:paraId="4F34A050" w14:textId="6164AF0A" w:rsidR="006525BC" w:rsidRPr="004E4FCD" w:rsidRDefault="008F10CE" w:rsidP="008F10CE">
            <w:r w:rsidRPr="008F10CE">
              <w:t xml:space="preserve">The body that in Greece has always provided the opportunity for distance learning undergraduate and postgraduate education and training, with the development and utilization of appropriate educational material and teaching methods, is the </w:t>
            </w:r>
            <w:r w:rsidR="004E4FCD" w:rsidRPr="004E4FCD">
              <w:rPr>
                <w:rFonts w:eastAsia="MS Mincho"/>
                <w:b/>
                <w:bCs/>
                <w:lang w:eastAsia="ja-JP"/>
              </w:rPr>
              <w:t>Greek Open University</w:t>
            </w:r>
            <w:r w:rsidR="004E4FCD">
              <w:rPr>
                <w:rFonts w:eastAsia="MS Mincho"/>
                <w:lang w:eastAsia="ja-JP"/>
              </w:rPr>
              <w:t xml:space="preserve"> (</w:t>
            </w:r>
            <w:r w:rsidRPr="008F10CE">
              <w:t>EAP</w:t>
            </w:r>
            <w:r w:rsidR="004E4FCD">
              <w:t>)</w:t>
            </w:r>
            <w:r w:rsidRPr="008F10CE">
              <w:t>, which is supervised by the Ministry of Education and Religions</w:t>
            </w:r>
            <w:r w:rsidR="004E4FCD">
              <w:t>.</w:t>
            </w:r>
          </w:p>
        </w:tc>
      </w:tr>
      <w:tr w:rsidR="006525BC" w:rsidRPr="00725AFF" w14:paraId="16804F4F" w14:textId="77777777" w:rsidTr="00140225">
        <w:trPr>
          <w:trHeight w:val="616"/>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B0381" w14:textId="148B5307" w:rsidR="00F306C2" w:rsidRDefault="0050059B">
            <w:pPr>
              <w:suppressAutoHyphens/>
              <w:spacing w:after="0" w:line="240" w:lineRule="auto"/>
              <w:outlineLvl w:val="0"/>
              <w:rPr>
                <w:rFonts w:ascii="Helvetica" w:eastAsia="Cambria" w:hAnsi="Helvetica" w:cs="Cambria"/>
                <w:b/>
                <w:bCs/>
                <w:sz w:val="20"/>
                <w:szCs w:val="20"/>
              </w:rPr>
            </w:pPr>
            <w:r>
              <w:rPr>
                <w:rFonts w:ascii="Helvetica" w:eastAsia="Cambria" w:hAnsi="Helvetica" w:cs="Cambria"/>
                <w:b/>
                <w:bCs/>
                <w:sz w:val="20"/>
                <w:szCs w:val="20"/>
              </w:rPr>
              <w:lastRenderedPageBreak/>
              <w:t>Summary</w:t>
            </w:r>
            <w:r w:rsidR="002618FD">
              <w:rPr>
                <w:rFonts w:ascii="Helvetica" w:eastAsia="Cambria" w:hAnsi="Helvetica" w:cs="Cambria"/>
                <w:b/>
                <w:bCs/>
                <w:sz w:val="20"/>
                <w:szCs w:val="20"/>
              </w:rPr>
              <w:t xml:space="preserve"> </w:t>
            </w:r>
            <w:r w:rsidR="00672F56">
              <w:rPr>
                <w:rFonts w:ascii="Helvetica" w:eastAsia="Cambria" w:hAnsi="Helvetica" w:cs="Cambria"/>
                <w:b/>
                <w:bCs/>
                <w:sz w:val="20"/>
                <w:szCs w:val="20"/>
              </w:rPr>
              <w:t xml:space="preserve">of </w:t>
            </w:r>
            <w:r w:rsidR="00E7027A">
              <w:rPr>
                <w:rFonts w:ascii="Helvetica" w:eastAsia="Cambria" w:hAnsi="Helvetica" w:cs="Cambria"/>
                <w:b/>
                <w:bCs/>
                <w:sz w:val="20"/>
                <w:szCs w:val="20"/>
              </w:rPr>
              <w:t xml:space="preserve">framework for </w:t>
            </w:r>
            <w:r w:rsidR="00672F56">
              <w:rPr>
                <w:rFonts w:ascii="Helvetica" w:eastAsia="Cambria" w:hAnsi="Helvetica" w:cs="Cambria"/>
                <w:b/>
                <w:bCs/>
                <w:sz w:val="20"/>
                <w:szCs w:val="20"/>
              </w:rPr>
              <w:t xml:space="preserve">formal adult education </w:t>
            </w:r>
            <w:r w:rsidR="00FB6167">
              <w:rPr>
                <w:rFonts w:ascii="Helvetica" w:eastAsia="Cambria" w:hAnsi="Helvetica" w:cs="Cambria"/>
                <w:b/>
                <w:bCs/>
                <w:sz w:val="20"/>
                <w:szCs w:val="20"/>
              </w:rPr>
              <w:t xml:space="preserve">in the original language </w:t>
            </w:r>
          </w:p>
          <w:p w14:paraId="1189F5EE" w14:textId="470AD1AF" w:rsidR="006525BC" w:rsidRDefault="00F306C2" w:rsidP="00573C2C">
            <w:pPr>
              <w:suppressAutoHyphens/>
              <w:spacing w:after="0" w:line="240" w:lineRule="auto"/>
              <w:outlineLvl w:val="0"/>
            </w:pPr>
            <w:r>
              <w:rPr>
                <w:rFonts w:ascii="Helvetica" w:eastAsia="Cambria" w:hAnsi="Helvetica" w:cs="Cambria"/>
                <w:b/>
                <w:bCs/>
                <w:sz w:val="20"/>
                <w:szCs w:val="20"/>
              </w:rPr>
              <w:t>(</w:t>
            </w:r>
            <w:r w:rsidR="00FB6167">
              <w:rPr>
                <w:rFonts w:ascii="Helvetica" w:eastAsia="Cambria" w:hAnsi="Helvetica" w:cs="Cambria"/>
                <w:b/>
                <w:bCs/>
                <w:sz w:val="20"/>
                <w:szCs w:val="20"/>
              </w:rPr>
              <w:t xml:space="preserve">3.000 </w:t>
            </w:r>
            <w:r w:rsidR="002618FD">
              <w:rPr>
                <w:rFonts w:ascii="Helvetica" w:eastAsia="Cambria" w:hAnsi="Helvetica" w:cs="Cambria"/>
                <w:bCs/>
                <w:sz w:val="20"/>
                <w:szCs w:val="20"/>
              </w:rPr>
              <w:t xml:space="preserve">characters </w:t>
            </w:r>
            <w:r w:rsidR="00FB6167" w:rsidRPr="007B0967">
              <w:rPr>
                <w:rFonts w:ascii="Helvetica" w:eastAsia="Cambria" w:hAnsi="Helvetica" w:cs="Cambria"/>
                <w:bCs/>
                <w:sz w:val="20"/>
                <w:szCs w:val="20"/>
              </w:rPr>
              <w:t>maximum)</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90C33" w14:textId="242B2361" w:rsidR="00C35040" w:rsidRPr="00C35040" w:rsidRDefault="00C35040" w:rsidP="00C35040">
            <w:r w:rsidRPr="00725AFF">
              <w:t>Η Ελλάδα δεν έχει μακρά παράδοση στην προσφορά μη τυπικής εκπαίδευσης σε ενήλικες.</w:t>
            </w:r>
            <w:r w:rsidR="00E70C52" w:rsidRPr="00725AFF">
              <w:rPr>
                <w:lang w:val="el-GR"/>
              </w:rPr>
              <w:t xml:space="preserve"> </w:t>
            </w:r>
            <w:r w:rsidRPr="00725AFF">
              <w:t>Με την ένταξη της χώρας στην Ευρωπαϊκή Οικονομική Κοινότητα (ΕΟΚ) το 1981, το ενδιαφέρον και η προσφορά αυτής της μορφής εκπαίδευσης αυξήθηκε σημαντικά ώστε να βελτιωθούν οι ικανότητες του εργατικού δυναμικού της.</w:t>
            </w:r>
            <w:r w:rsidR="00E70C52" w:rsidRPr="00725AFF">
              <w:t xml:space="preserve"> </w:t>
            </w:r>
            <w:r w:rsidRPr="00725AFF">
              <w:t>Από το 2000 και μετά, η εφαρμογή νέων πολιτικών και πρωτοβουλιών, ενταγμένων στο </w:t>
            </w:r>
            <w:r w:rsidRPr="00725AFF">
              <w:rPr>
                <w:b/>
                <w:bCs/>
              </w:rPr>
              <w:t>πλαίσιο πολιτικής για τη δια βίου μάθηση</w:t>
            </w:r>
            <w:r w:rsidRPr="00725AFF">
              <w:t>, καλύπτει διαφορετικές μορφές εκπαίδευσης και κατάρτισης που επιτρέπουν στους ενήλικες να αναπτύξουν και να αναπροσανατολίσουν την εκπαίδευσή τους βάσει των διαφορετικών ατομικών αναγκών τους.</w:t>
            </w:r>
          </w:p>
          <w:p w14:paraId="6AF5E18F" w14:textId="77777777" w:rsidR="00C35040" w:rsidRPr="00C35040" w:rsidRDefault="00C35040" w:rsidP="00C35040">
            <w:r w:rsidRPr="00C35040">
              <w:t>Με βάση αυτό το πλαίσιο, η ολιστική έννοια της </w:t>
            </w:r>
            <w:r w:rsidRPr="00C35040">
              <w:rPr>
                <w:b/>
                <w:bCs/>
              </w:rPr>
              <w:t>γενικής εκπαίδευσης ενηλίκων</w:t>
            </w:r>
            <w:r w:rsidRPr="00C35040">
              <w:t> περιλαμβάνει όλες τις οργανωμένες μαθησιακές δραστηριότητες (τυπικές και μη-τυπικές) που απευθύνονται σε ενήλικες και επιδιώκουν (</w:t>
            </w:r>
            <w:hyperlink r:id="rId7" w:tgtFrame="_blank" w:history="1">
              <w:r w:rsidRPr="00C35040">
                <w:rPr>
                  <w:rStyle w:val="Hipervnculo"/>
                </w:rPr>
                <w:t>νόμος 3879/2010</w:t>
              </w:r>
            </w:hyperlink>
            <w:r w:rsidRPr="00C35040">
              <w:t>):</w:t>
            </w:r>
          </w:p>
          <w:p w14:paraId="75DB0D67" w14:textId="77777777" w:rsidR="00C35040" w:rsidRPr="00C35040" w:rsidRDefault="00C35040" w:rsidP="00C35040">
            <w:pPr>
              <w:numPr>
                <w:ilvl w:val="0"/>
                <w:numId w:val="7"/>
              </w:numPr>
            </w:pPr>
            <w:r w:rsidRPr="00C35040">
              <w:t>Να εμπλουτίσουν τη γνώση τους</w:t>
            </w:r>
          </w:p>
          <w:p w14:paraId="6F9E1C54" w14:textId="77777777" w:rsidR="00C35040" w:rsidRPr="00C35040" w:rsidRDefault="00C35040" w:rsidP="00C35040">
            <w:pPr>
              <w:numPr>
                <w:ilvl w:val="0"/>
                <w:numId w:val="7"/>
              </w:numPr>
            </w:pPr>
            <w:r w:rsidRPr="00C35040">
              <w:t>Να αναπτύξουν τις ικανότητες και δεξιότητες τους</w:t>
            </w:r>
          </w:p>
          <w:p w14:paraId="1FB1C2B8" w14:textId="77777777" w:rsidR="00C35040" w:rsidRPr="00C35040" w:rsidRDefault="00C35040" w:rsidP="00C35040">
            <w:pPr>
              <w:numPr>
                <w:ilvl w:val="0"/>
                <w:numId w:val="7"/>
              </w:numPr>
            </w:pPr>
            <w:r w:rsidRPr="00C35040">
              <w:lastRenderedPageBreak/>
              <w:t>Να αναπτύξουν την προσωπικότητα τους</w:t>
            </w:r>
          </w:p>
          <w:p w14:paraId="0187DE98" w14:textId="77777777" w:rsidR="00C35040" w:rsidRPr="00C35040" w:rsidRDefault="00C35040" w:rsidP="00C35040">
            <w:pPr>
              <w:numPr>
                <w:ilvl w:val="0"/>
                <w:numId w:val="7"/>
              </w:numPr>
            </w:pPr>
            <w:r w:rsidRPr="00C35040">
              <w:t>Να γίνουν ενεργοί πολίτες.</w:t>
            </w:r>
          </w:p>
          <w:p w14:paraId="54732736" w14:textId="77777777" w:rsidR="00C35040" w:rsidRPr="00C35040" w:rsidRDefault="00C35040" w:rsidP="00C35040">
            <w:r w:rsidRPr="00C35040">
              <w:t>Η γενική εκπαίδευση ενηλίκων υιοθετήθηκε από μεγάλο αριθμό εκπαιδευτικών ιδρυμάτων που επιδοτούνται πλήρως ή εν μέρει από το κράτος.</w:t>
            </w:r>
          </w:p>
          <w:p w14:paraId="60B43316" w14:textId="77777777" w:rsidR="00C35040" w:rsidRPr="00C35040" w:rsidRDefault="00C35040" w:rsidP="00C35040">
            <w:r w:rsidRPr="00C35040">
              <w:t>Η Γενική Γραμματεία Επαγγελματικής Εκπαίδευσης, Κατάρτισης, Δια Βίου Μάθησης και Νεολαίας του Υπουργείου Παιδείας και Θρησκευμάτων, όπως ανασυγκροτήθηκε με τον ν. </w:t>
            </w:r>
            <w:hyperlink r:id="rId8" w:tgtFrame="_blank" w:history="1">
              <w:r w:rsidRPr="00C35040">
                <w:rPr>
                  <w:rStyle w:val="Hipervnculo"/>
                </w:rPr>
                <w:t>4763/2020</w:t>
              </w:r>
            </w:hyperlink>
            <w:r w:rsidRPr="00C35040">
              <w:t>, αποτελεί την κατ’εξοχήν αρμόδια θεματική Γραμματεία του Υπουργείου Παιδείας και Θρησκευμάτων για την </w:t>
            </w:r>
            <w:hyperlink r:id="rId9" w:tgtFrame="_blank" w:history="1">
              <w:r w:rsidRPr="00C35040">
                <w:rPr>
                  <w:rStyle w:val="Hipervnculo"/>
                </w:rPr>
                <w:t>Εκπαίδευση και Κατάρτιση Ενηλίκων</w:t>
              </w:r>
            </w:hyperlink>
            <w:r w:rsidRPr="00C35040">
              <w:t>.</w:t>
            </w:r>
          </w:p>
          <w:p w14:paraId="7C18AA94" w14:textId="77777777" w:rsidR="00C35040" w:rsidRPr="00C35040" w:rsidRDefault="00C35040" w:rsidP="00C35040">
            <w:r w:rsidRPr="00C35040">
              <w:t>Υπάρχουν επίσης διάφοροι οργανισμοί που λειτουργούν ως νομικές οντότητες του δημόσιου ή/και ιδιωτικού δικαίου και οι οποίες ελέγχονται από το Υπουργείο Παιδείας:</w:t>
            </w:r>
          </w:p>
          <w:p w14:paraId="5954FCEE" w14:textId="63BAECA4" w:rsidR="00C35040" w:rsidRPr="00C35040" w:rsidRDefault="00895958" w:rsidP="00C35040">
            <w:pPr>
              <w:numPr>
                <w:ilvl w:val="0"/>
                <w:numId w:val="8"/>
              </w:numPr>
            </w:pPr>
            <w:hyperlink r:id="rId10" w:tgtFrame="_blank" w:history="1">
              <w:r w:rsidR="00C35040" w:rsidRPr="00C35040">
                <w:rPr>
                  <w:rStyle w:val="Hipervnculo"/>
                </w:rPr>
                <w:t>Το Ίδρυμα Νεολαίας και Δια Βίου Μάθησης</w:t>
              </w:r>
            </w:hyperlink>
            <w:r w:rsidR="00C35040" w:rsidRPr="00C35040">
              <w:t>.</w:t>
            </w:r>
          </w:p>
          <w:p w14:paraId="2C781865" w14:textId="5F1B10EB" w:rsidR="00C35040" w:rsidRPr="00C35040" w:rsidRDefault="00895958" w:rsidP="00C35040">
            <w:pPr>
              <w:numPr>
                <w:ilvl w:val="0"/>
                <w:numId w:val="8"/>
              </w:numPr>
            </w:pPr>
            <w:hyperlink r:id="rId11" w:tgtFrame="_blank" w:history="1">
              <w:r w:rsidR="00C35040" w:rsidRPr="00C35040">
                <w:rPr>
                  <w:rStyle w:val="Hipervnculo"/>
                </w:rPr>
                <w:t>Ο Εθνικός Οργανισμός Πιστοποίησης των Επαγγελματικών Προσόντων και Επαγγελματικού Προσανατολισμού</w:t>
              </w:r>
            </w:hyperlink>
            <w:r w:rsidR="00E70C52">
              <w:t>.</w:t>
            </w:r>
          </w:p>
          <w:p w14:paraId="164C9DAE" w14:textId="77777777" w:rsidR="00C35040" w:rsidRPr="00C35040" w:rsidRDefault="00C35040" w:rsidP="00C35040">
            <w:r w:rsidRPr="00C35040">
              <w:t>Παράλληλα, τόσο η αρχική όσο και η συνεχιζόμενη επαγγελματική εκπαίδευση και κατάρτιση παρέχονται, επίσης, από το Υπουργείο Εργασίας και Κοινωνικών Υποθέσεων καθώς  και από άλλα Υπουργεία.</w:t>
            </w:r>
          </w:p>
          <w:p w14:paraId="1449DE87" w14:textId="77777777" w:rsidR="00C35040" w:rsidRPr="00C35040" w:rsidRDefault="00C35040" w:rsidP="00C35040">
            <w:r w:rsidRPr="00C35040">
              <w:t>Εκπαίδευση κοινωνικο-πολιτιστικού περιεχομένου για ενήλικες προσφέρεται από δήμους και ιδιωτικούς παρόχους.</w:t>
            </w:r>
          </w:p>
          <w:p w14:paraId="70EA8B00" w14:textId="77777777" w:rsidR="00C35040" w:rsidRPr="00C35040" w:rsidRDefault="00C35040" w:rsidP="00C35040">
            <w:r w:rsidRPr="00C35040">
              <w:t>Η δημόσια εκπαίδευση και κατάρτιση ενηλίκων παρέχεται δωρεάν και είναι προσβάσιμη σε όλους.</w:t>
            </w:r>
          </w:p>
          <w:p w14:paraId="6D5DF89C" w14:textId="0FEB1E9B" w:rsidR="00C35040" w:rsidRPr="00E70C52" w:rsidRDefault="00E70C52" w:rsidP="008F10CE">
            <w:pPr>
              <w:rPr>
                <w:u w:val="single"/>
                <w:lang w:val="el-GR"/>
              </w:rPr>
            </w:pPr>
            <w:r w:rsidRPr="00E70C52">
              <w:rPr>
                <w:u w:val="single"/>
                <w:lang w:val="el-GR"/>
              </w:rPr>
              <w:t>Φορείς:</w:t>
            </w:r>
          </w:p>
          <w:p w14:paraId="0F88FACB" w14:textId="5D67ACD3" w:rsidR="008F10CE" w:rsidRPr="008F10CE" w:rsidRDefault="008F10CE" w:rsidP="008F10CE">
            <w:r w:rsidRPr="008F10CE">
              <w:t>Το Υπουργείο Παιδείας και Θρησκευμάτων εποπτεύει μια σειρά από δημόσιους φορείς που παρέχουν  εκπαίδευση και κατάρτιση ενηλίκων:</w:t>
            </w:r>
          </w:p>
          <w:p w14:paraId="1509FFD6" w14:textId="77777777" w:rsidR="008F10CE" w:rsidRPr="008F10CE" w:rsidRDefault="008F10CE" w:rsidP="008F10CE">
            <w:pPr>
              <w:numPr>
                <w:ilvl w:val="0"/>
                <w:numId w:val="4"/>
              </w:numPr>
            </w:pPr>
            <w:r w:rsidRPr="008F10CE">
              <w:rPr>
                <w:b/>
                <w:bCs/>
              </w:rPr>
              <w:t>Σχολεία Δεύτερης Ευκαιρίας</w:t>
            </w:r>
            <w:r w:rsidRPr="008F10CE">
              <w:t xml:space="preserve">, για ενήλικες που δεν έχουν ολοκληρώσει την υποχρεωτική εκπαίδευση. Υπάρχουν 66 Σχολεία Δεύτερης Ευκαιρίας (και 22 Τμήματα-Παραρτήματα) και </w:t>
            </w:r>
            <w:r w:rsidRPr="008F10CE">
              <w:lastRenderedPageBreak/>
              <w:t>12 Σχολεία Δεύτερης Ευκαιρίας που λειτουργούν μέσα σε σωφρονιστικά ιδρύματα</w:t>
            </w:r>
          </w:p>
          <w:p w14:paraId="3BA87029" w14:textId="77777777" w:rsidR="008F10CE" w:rsidRPr="008F10CE" w:rsidRDefault="008F10CE" w:rsidP="008F10CE">
            <w:pPr>
              <w:numPr>
                <w:ilvl w:val="0"/>
                <w:numId w:val="4"/>
              </w:numPr>
            </w:pPr>
            <w:r w:rsidRPr="008F10CE">
              <w:rPr>
                <w:b/>
                <w:bCs/>
              </w:rPr>
              <w:t>Ινστιτούτα Επαγγελματικής Κατάρτισης</w:t>
            </w:r>
            <w:r w:rsidRPr="008F10CE">
              <w:t>, που προσφέρουν αρχική επαγγελματική κατάρτιση σε αποφοίτους τυπικής, μη υποχρεωτικής δευτεροβάθμιας εκπαίδευσης.  Υπάρχουν 126 δημόσια ΙΕΚ του Υπουργείου Παιδείας και Θρησκευμάτων.</w:t>
            </w:r>
          </w:p>
          <w:p w14:paraId="47E3B04F" w14:textId="77777777" w:rsidR="008F10CE" w:rsidRPr="008F10CE" w:rsidRDefault="008F10CE" w:rsidP="008F10CE">
            <w:pPr>
              <w:numPr>
                <w:ilvl w:val="0"/>
                <w:numId w:val="4"/>
              </w:numPr>
            </w:pPr>
            <w:r w:rsidRPr="008F10CE">
              <w:rPr>
                <w:b/>
                <w:bCs/>
              </w:rPr>
              <w:t>Δημόσια Κέντρα Δια Βίου Μάθησης (ΚΔΒΜ)</w:t>
            </w:r>
            <w:r w:rsidRPr="008F10CE">
              <w:t>, που δύνανται να ιδρύονται να προσφέρουν συνεχιζόμενη επαγγελματική κατάρτιση, επανειδίκευση,  αναβάθμιση δεξιοτήτων, γενική εκπαίδευση ενηλίκων και συμβουλευτική και επαγγελματικό προσανατολισμό (Ο ν. 4763/2020 δημιουργεί το πλαίσιο ίδρυσης, αδειοδότησης και λειτουργίας των ΚΔΒΜ. Με το προγενέστερο θεσμικό πλαίσιο δεν υπήρχαν ατόφιες δημόσιες δομές δια βίου μάθησης, αλλά πραγματοποιούνταν προγράμματα δια βίου μάθησης σε επίπεδο δήμων με χρηματοδότηση από ενωσιακούς πόρους).</w:t>
            </w:r>
          </w:p>
          <w:p w14:paraId="04EF9142" w14:textId="77777777" w:rsidR="008F10CE" w:rsidRPr="008F10CE" w:rsidRDefault="008F10CE" w:rsidP="008F10CE">
            <w:pPr>
              <w:numPr>
                <w:ilvl w:val="0"/>
                <w:numId w:val="4"/>
              </w:numPr>
            </w:pPr>
            <w:r w:rsidRPr="008F10CE">
              <w:rPr>
                <w:b/>
                <w:bCs/>
              </w:rPr>
              <w:t>Κέντρα Επιμόρφωσης και Δια Βίου Μάθησης των ΑΕΙ</w:t>
            </w:r>
            <w:r w:rsidRPr="008F10CE">
              <w:t>, τα οποία αποτελούν μονάδες των Ιδρυμάτων που εξασφαλίζουν τον συντονισμό και τη διεπιστημονική συνεργασία στην ανάπτυξη προγραμμάτων επιμόρφωσης, συνεχιζόμενης εκπαίδευσης, κατάρτισης και εν γένει δια βίου μάθησης. Λειτουργούν ΚΕΔΙΒΙΜ σε 22 Ιδρύματα.  </w:t>
            </w:r>
          </w:p>
          <w:p w14:paraId="74AC7137" w14:textId="644A18B3" w:rsidR="006525BC" w:rsidRPr="008F10CE" w:rsidRDefault="008F10CE" w:rsidP="008F10CE">
            <w:r w:rsidRPr="008F10CE">
              <w:t xml:space="preserve">Ο φορέας που στην Ελλάδα παρείχε διαχρονικά τη δυνατότητα  για εξ αποστάσεως παροχή προπτυχιακής και μεταπτυχιακής εκπαίδευσης και επιμόρφωσης, με την ανάπτυξη και αξιοποίηση κατάλληλου εκπαιδευτικού υλικού και μεθόδων διδασκαλίας, είναι το </w:t>
            </w:r>
            <w:r w:rsidRPr="008F10CE">
              <w:rPr>
                <w:b/>
                <w:bCs/>
              </w:rPr>
              <w:t>Ε</w:t>
            </w:r>
            <w:r w:rsidRPr="008F10CE">
              <w:rPr>
                <w:b/>
                <w:bCs/>
                <w:lang w:val="el-GR"/>
              </w:rPr>
              <w:t>λληνικό Ανοιχτό Πανεπιστήμιο</w:t>
            </w:r>
            <w:r>
              <w:rPr>
                <w:lang w:val="el-GR"/>
              </w:rPr>
              <w:t xml:space="preserve"> (ΕΑΠ)</w:t>
            </w:r>
            <w:r w:rsidRPr="008F10CE">
              <w:t xml:space="preserve">, το οποίο εποπτεύεται από το Υπουργείο Παιδείας και Θρησκευμάτων </w:t>
            </w:r>
            <w:r>
              <w:rPr>
                <w:lang w:val="el-GR"/>
              </w:rPr>
              <w:t>.</w:t>
            </w:r>
            <w:r w:rsidRPr="008F10CE">
              <w:br/>
            </w:r>
            <w:r w:rsidRPr="008F10CE">
              <w:br/>
            </w:r>
          </w:p>
        </w:tc>
      </w:tr>
      <w:tr w:rsidR="00672F56" w14:paraId="625B8162" w14:textId="77777777" w:rsidTr="00140225">
        <w:trPr>
          <w:trHeight w:val="499"/>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93AFE" w14:textId="0D68119D" w:rsidR="00672F56" w:rsidRDefault="00672F56">
            <w:pPr>
              <w:suppressAutoHyphens/>
              <w:spacing w:after="0" w:line="240" w:lineRule="auto"/>
              <w:outlineLvl w:val="0"/>
              <w:rPr>
                <w:rFonts w:ascii="Helvetica" w:eastAsia="Cambria" w:hAnsi="Helvetica" w:cs="Cambria"/>
                <w:b/>
                <w:bCs/>
                <w:sz w:val="20"/>
                <w:szCs w:val="20"/>
              </w:rPr>
            </w:pPr>
            <w:r>
              <w:rPr>
                <w:rFonts w:ascii="Helvetica" w:eastAsia="Cambria" w:hAnsi="Helvetica" w:cs="Cambria"/>
                <w:b/>
                <w:bCs/>
                <w:sz w:val="20"/>
                <w:szCs w:val="20"/>
              </w:rPr>
              <w:lastRenderedPageBreak/>
              <w:t>Source*</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9E705" w14:textId="17BEF99D" w:rsidR="004E4FCD" w:rsidRPr="004E4FCD" w:rsidRDefault="004E4FCD" w:rsidP="004E4FCD">
            <w:pPr>
              <w:rPr>
                <w:i/>
                <w:iCs/>
              </w:rPr>
            </w:pPr>
            <w:r w:rsidRPr="004E4FCD">
              <w:t>EURYDICE</w:t>
            </w:r>
            <w:r>
              <w:t xml:space="preserve"> (last updated: 23/04/21), </w:t>
            </w:r>
            <w:r w:rsidRPr="004E4FCD">
              <w:rPr>
                <w:i/>
                <w:iCs/>
              </w:rPr>
              <w:t>Elláda -</w:t>
            </w:r>
          </w:p>
          <w:p w14:paraId="3319082D" w14:textId="032B932F" w:rsidR="00672F56" w:rsidRPr="004E4FCD" w:rsidRDefault="004E4FCD" w:rsidP="004E4FCD">
            <w:r w:rsidRPr="004E4FCD">
              <w:rPr>
                <w:i/>
                <w:iCs/>
              </w:rPr>
              <w:lastRenderedPageBreak/>
              <w:t>Κύριοι Πάροχοι</w:t>
            </w:r>
            <w:r>
              <w:rPr>
                <w:i/>
                <w:iCs/>
              </w:rPr>
              <w:t xml:space="preserve">, </w:t>
            </w:r>
            <w:r>
              <w:t xml:space="preserve">available at </w:t>
            </w:r>
            <w:hyperlink r:id="rId12" w:history="1">
              <w:r w:rsidRPr="00E519E3">
                <w:rPr>
                  <w:rStyle w:val="Hipervnculo"/>
                </w:rPr>
                <w:t>https://eacea.ec.europa.eu/national-policies/eurydice/content/main-providers-32_el</w:t>
              </w:r>
            </w:hyperlink>
            <w:r>
              <w:t xml:space="preserve"> </w:t>
            </w:r>
          </w:p>
        </w:tc>
      </w:tr>
      <w:tr w:rsidR="00573C2C" w:rsidRPr="00DA3EDC" w14:paraId="5C9058B7" w14:textId="77777777" w:rsidTr="00140225">
        <w:trPr>
          <w:trHeight w:val="485"/>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C18BD" w14:textId="22285685" w:rsidR="00573C2C" w:rsidRDefault="00E7027A">
            <w:pPr>
              <w:suppressAutoHyphens/>
              <w:spacing w:after="0" w:line="240" w:lineRule="auto"/>
              <w:outlineLvl w:val="0"/>
              <w:rPr>
                <w:rFonts w:ascii="Helvetica" w:eastAsia="Cambria" w:hAnsi="Helvetica" w:cs="Cambria"/>
                <w:b/>
                <w:bCs/>
                <w:sz w:val="20"/>
                <w:szCs w:val="20"/>
              </w:rPr>
            </w:pPr>
            <w:r>
              <w:rPr>
                <w:rStyle w:val="Ninguno"/>
                <w:rFonts w:ascii="Helvetica" w:hAnsi="Helvetica"/>
                <w:b/>
                <w:bCs/>
                <w:sz w:val="20"/>
                <w:szCs w:val="20"/>
              </w:rPr>
              <w:lastRenderedPageBreak/>
              <w:t>Title legal framework of informal adult education in English</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DBCC9" w14:textId="4455AE42" w:rsidR="00573C2C" w:rsidRPr="00DA3EDC" w:rsidRDefault="00DA3EDC">
            <w:r w:rsidRPr="00DA3EDC">
              <w:t>Law 3879/2010 includes formal education, non-formal education and non-formal learning.</w:t>
            </w:r>
          </w:p>
        </w:tc>
      </w:tr>
      <w:tr w:rsidR="00573C2C" w:rsidRPr="00725AFF" w14:paraId="1CE086E3" w14:textId="77777777" w:rsidTr="00140225">
        <w:trPr>
          <w:trHeight w:val="593"/>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D79A1" w14:textId="008BE724" w:rsidR="00573C2C" w:rsidRDefault="00E7027A">
            <w:pPr>
              <w:suppressAutoHyphens/>
              <w:spacing w:after="0" w:line="240" w:lineRule="auto"/>
              <w:outlineLvl w:val="0"/>
              <w:rPr>
                <w:rFonts w:ascii="Helvetica" w:eastAsia="Cambria" w:hAnsi="Helvetica" w:cs="Cambria"/>
                <w:b/>
                <w:bCs/>
                <w:sz w:val="20"/>
                <w:szCs w:val="20"/>
              </w:rPr>
            </w:pPr>
            <w:r>
              <w:rPr>
                <w:rStyle w:val="Ninguno"/>
                <w:rFonts w:ascii="Helvetica" w:hAnsi="Helvetica"/>
                <w:b/>
                <w:bCs/>
                <w:sz w:val="20"/>
                <w:szCs w:val="20"/>
              </w:rPr>
              <w:t>Title legal framework of informal adult education in the original language</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FFB17" w14:textId="044176B0" w:rsidR="00573C2C" w:rsidRPr="00DA3EDC" w:rsidRDefault="00DA3EDC">
            <w:pPr>
              <w:rPr>
                <w:lang w:val="el-GR"/>
              </w:rPr>
            </w:pPr>
            <w:r w:rsidRPr="00DA3EDC">
              <w:rPr>
                <w:lang w:val="el-GR"/>
              </w:rPr>
              <w:t>Ο νόμος 3879/2010 περιλαμβάνει την τυπική εκπαίδευση, τη μη τυπική εκπαίδευση και την άτυπη μάθηση.</w:t>
            </w:r>
          </w:p>
        </w:tc>
      </w:tr>
      <w:tr w:rsidR="00573C2C" w14:paraId="6E39E996" w14:textId="77777777" w:rsidTr="00140225">
        <w:trPr>
          <w:trHeight w:val="534"/>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59349" w14:textId="3FFCE944" w:rsidR="00573C2C" w:rsidRDefault="00E7027A" w:rsidP="00672F56">
            <w:pPr>
              <w:suppressAutoHyphens/>
              <w:spacing w:after="0" w:line="240" w:lineRule="auto"/>
              <w:outlineLvl w:val="0"/>
              <w:rPr>
                <w:rFonts w:ascii="Helvetica" w:eastAsia="Cambria" w:hAnsi="Helvetica" w:cs="Cambria"/>
                <w:b/>
                <w:bCs/>
                <w:sz w:val="20"/>
                <w:szCs w:val="20"/>
              </w:rPr>
            </w:pPr>
            <w:r w:rsidRPr="00266888">
              <w:rPr>
                <w:rFonts w:ascii="Helvetica" w:eastAsia="Cambria" w:hAnsi="Helvetica" w:cs="Cambria"/>
                <w:b/>
                <w:bCs/>
                <w:sz w:val="20"/>
                <w:szCs w:val="20"/>
              </w:rPr>
              <w:t>Summary</w:t>
            </w:r>
            <w:r>
              <w:rPr>
                <w:rFonts w:ascii="Helvetica" w:eastAsia="Cambria" w:hAnsi="Helvetica" w:cs="Cambria"/>
                <w:b/>
                <w:bCs/>
                <w:sz w:val="20"/>
                <w:szCs w:val="20"/>
              </w:rPr>
              <w:t xml:space="preserve"> </w:t>
            </w:r>
            <w:r>
              <w:rPr>
                <w:rStyle w:val="Ninguno"/>
                <w:rFonts w:ascii="Helvetica" w:hAnsi="Helvetica"/>
                <w:b/>
                <w:bCs/>
                <w:sz w:val="20"/>
                <w:szCs w:val="20"/>
              </w:rPr>
              <w:t>of framework for informal adult education</w:t>
            </w:r>
            <w:r>
              <w:rPr>
                <w:rFonts w:ascii="Helvetica" w:eastAsia="Cambria" w:hAnsi="Helvetica" w:cs="Cambria"/>
                <w:b/>
                <w:bCs/>
                <w:sz w:val="20"/>
                <w:szCs w:val="20"/>
              </w:rPr>
              <w:t xml:space="preserve"> in English (3.000 </w:t>
            </w:r>
            <w:r w:rsidRPr="007B0967">
              <w:rPr>
                <w:rFonts w:ascii="Helvetica" w:eastAsia="Cambria" w:hAnsi="Helvetica" w:cs="Cambria"/>
                <w:bCs/>
                <w:sz w:val="20"/>
                <w:szCs w:val="20"/>
              </w:rPr>
              <w:t>characters max</w:t>
            </w:r>
            <w:r>
              <w:rPr>
                <w:rFonts w:ascii="Helvetica" w:eastAsia="Cambria" w:hAnsi="Helvetica" w:cs="Cambria"/>
                <w:bCs/>
                <w:sz w:val="20"/>
                <w:szCs w:val="20"/>
              </w:rPr>
              <w:t>imum</w:t>
            </w:r>
            <w:r w:rsidRPr="007B0967">
              <w:rPr>
                <w:rFonts w:ascii="Helvetica" w:eastAsia="Cambria" w:hAnsi="Helvetica" w:cs="Cambria"/>
                <w:bCs/>
                <w:sz w:val="20"/>
                <w:szCs w:val="20"/>
              </w:rPr>
              <w:t>)</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5C82E" w14:textId="3C6C3292" w:rsidR="004E4FCD" w:rsidRPr="004E4FCD" w:rsidRDefault="004E4FCD" w:rsidP="004E4FCD">
            <w:pPr>
              <w:rPr>
                <w:lang w:val="en-GB"/>
              </w:rPr>
            </w:pPr>
            <w:r w:rsidRPr="004E4FCD">
              <w:rPr>
                <w:lang w:val="en-GB"/>
              </w:rPr>
              <w:t>Lifelong learning programs can be offered by bodies, legal entities of any type, operating at national, regional or local level. They are recognized as representatives who provide non-formal education to citizens registered in an official register.</w:t>
            </w:r>
          </w:p>
          <w:p w14:paraId="557B52A1" w14:textId="1DDCEAE0" w:rsidR="004E4FCD" w:rsidRPr="004E4FCD" w:rsidRDefault="004E4FCD" w:rsidP="004E4FCD">
            <w:pPr>
              <w:rPr>
                <w:lang w:val="en-GB"/>
              </w:rPr>
            </w:pPr>
            <w:r w:rsidRPr="004E4FCD">
              <w:rPr>
                <w:lang w:val="en-GB"/>
              </w:rPr>
              <w:t>These bodies are the following:</w:t>
            </w:r>
          </w:p>
          <w:p w14:paraId="771DBFAE" w14:textId="77777777" w:rsidR="004E4FCD" w:rsidRPr="004E4FCD" w:rsidRDefault="004E4FCD" w:rsidP="004E4FCD">
            <w:pPr>
              <w:rPr>
                <w:lang w:val="en-GB"/>
              </w:rPr>
            </w:pPr>
            <w:r w:rsidRPr="004E4FCD">
              <w:rPr>
                <w:lang w:val="en-GB"/>
              </w:rPr>
              <w:t>Providers of general (formal and non-formal) adult education services, which may be social, religious or cultural.</w:t>
            </w:r>
          </w:p>
          <w:p w14:paraId="4B4F6435" w14:textId="77777777" w:rsidR="004E4FCD" w:rsidRPr="004E4FCD" w:rsidRDefault="004E4FCD" w:rsidP="004E4FCD">
            <w:pPr>
              <w:rPr>
                <w:lang w:val="en-GB"/>
              </w:rPr>
            </w:pPr>
            <w:r w:rsidRPr="004E4FCD">
              <w:rPr>
                <w:lang w:val="en-GB"/>
              </w:rPr>
              <w:t>Bodies providing consulting and / or vocational guidance services.</w:t>
            </w:r>
          </w:p>
          <w:p w14:paraId="3FC4119B" w14:textId="77777777" w:rsidR="004E4FCD" w:rsidRPr="004E4FCD" w:rsidRDefault="004E4FCD" w:rsidP="004E4FCD">
            <w:pPr>
              <w:rPr>
                <w:lang w:val="en-GB"/>
              </w:rPr>
            </w:pPr>
            <w:r w:rsidRPr="004E4FCD">
              <w:rPr>
                <w:lang w:val="en-GB"/>
              </w:rPr>
              <w:t>Employment Promotion Centers (EMPs), to the extent that they provide counseling and career guidance services for life</w:t>
            </w:r>
          </w:p>
          <w:p w14:paraId="5FE444AB" w14:textId="77777777" w:rsidR="004E4FCD" w:rsidRPr="004E4FCD" w:rsidRDefault="004E4FCD" w:rsidP="004E4FCD">
            <w:pPr>
              <w:rPr>
                <w:lang w:val="en-GB"/>
              </w:rPr>
            </w:pPr>
            <w:r w:rsidRPr="004E4FCD">
              <w:rPr>
                <w:lang w:val="en-GB"/>
              </w:rPr>
              <w:t>Extensive public sector providers providing non-formal training in public human resources and the extended public sector, such as the National Center for Public Administration and Local Self-Government and other professional associations and chambers, such as the Small Business Institute of the General Confederation of Professionals, B Greece, etc.</w:t>
            </w:r>
          </w:p>
          <w:p w14:paraId="3E701DF4" w14:textId="532B3A66" w:rsidR="00573C2C" w:rsidRPr="001230B4" w:rsidRDefault="004E4FCD" w:rsidP="004E4FCD">
            <w:pPr>
              <w:rPr>
                <w:lang w:val="en-GB"/>
              </w:rPr>
            </w:pPr>
            <w:r w:rsidRPr="004E4FCD">
              <w:rPr>
                <w:lang w:val="en-GB"/>
              </w:rPr>
              <w:t>Bodies created by the tertiary professional organizations of employees and employers and the tertiary association of professional organizations of civil servants. Such bodies are, for example, the Center for the Development of Educational Policy of the General Confederation of Greek Workers, etc.</w:t>
            </w:r>
          </w:p>
        </w:tc>
      </w:tr>
      <w:tr w:rsidR="002618FD" w:rsidRPr="00725AFF" w14:paraId="7D2FAD9E" w14:textId="77777777" w:rsidTr="00140225">
        <w:trPr>
          <w:trHeight w:val="488"/>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AE432" w14:textId="648DB89B" w:rsidR="00E7027A" w:rsidRDefault="00E7027A" w:rsidP="00E7027A">
            <w:pPr>
              <w:suppressAutoHyphens/>
              <w:spacing w:after="0" w:line="240" w:lineRule="auto"/>
              <w:outlineLvl w:val="0"/>
              <w:rPr>
                <w:rFonts w:ascii="Helvetica" w:eastAsia="Cambria" w:hAnsi="Helvetica" w:cs="Cambria"/>
                <w:b/>
                <w:bCs/>
                <w:sz w:val="20"/>
                <w:szCs w:val="20"/>
              </w:rPr>
            </w:pPr>
            <w:r>
              <w:rPr>
                <w:rFonts w:ascii="Helvetica" w:eastAsia="Cambria" w:hAnsi="Helvetica" w:cs="Cambria"/>
                <w:b/>
                <w:bCs/>
                <w:sz w:val="20"/>
                <w:szCs w:val="20"/>
              </w:rPr>
              <w:t xml:space="preserve">Summary of framework for informal adult education in the original language </w:t>
            </w:r>
          </w:p>
          <w:p w14:paraId="62EF86FB" w14:textId="4A90F561" w:rsidR="002618FD" w:rsidRDefault="00E7027A" w:rsidP="00E7027A">
            <w:pPr>
              <w:suppressAutoHyphens/>
              <w:spacing w:after="0" w:line="240" w:lineRule="auto"/>
              <w:outlineLvl w:val="0"/>
              <w:rPr>
                <w:rFonts w:ascii="Helvetica" w:eastAsia="Cambria" w:hAnsi="Helvetica" w:cs="Cambria"/>
                <w:b/>
                <w:bCs/>
                <w:sz w:val="20"/>
                <w:szCs w:val="20"/>
              </w:rPr>
            </w:pPr>
            <w:r>
              <w:rPr>
                <w:rFonts w:ascii="Helvetica" w:eastAsia="Cambria" w:hAnsi="Helvetica" w:cs="Cambria"/>
                <w:b/>
                <w:bCs/>
                <w:sz w:val="20"/>
                <w:szCs w:val="20"/>
              </w:rPr>
              <w:t xml:space="preserve">(3.000 </w:t>
            </w:r>
            <w:r>
              <w:rPr>
                <w:rFonts w:ascii="Helvetica" w:eastAsia="Cambria" w:hAnsi="Helvetica" w:cs="Cambria"/>
                <w:bCs/>
                <w:sz w:val="20"/>
                <w:szCs w:val="20"/>
              </w:rPr>
              <w:t xml:space="preserve">characters </w:t>
            </w:r>
            <w:r w:rsidRPr="007B0967">
              <w:rPr>
                <w:rFonts w:ascii="Helvetica" w:eastAsia="Cambria" w:hAnsi="Helvetica" w:cs="Cambria"/>
                <w:bCs/>
                <w:sz w:val="20"/>
                <w:szCs w:val="20"/>
              </w:rPr>
              <w:t>maximum)</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BC9A4" w14:textId="10843DDF" w:rsidR="008F10CE" w:rsidRPr="008F10CE" w:rsidRDefault="008F10CE" w:rsidP="008F10CE">
            <w:pPr>
              <w:rPr>
                <w:lang w:val="el-GR"/>
              </w:rPr>
            </w:pPr>
            <w:r>
              <w:rPr>
                <w:lang w:val="el-GR"/>
              </w:rPr>
              <w:t>Τ</w:t>
            </w:r>
            <w:r w:rsidRPr="008F10CE">
              <w:t xml:space="preserve">α προγράμματα δια βίου μάθησης μπορούν να προσφέρονται από φορείς, νομικές οντότητες οποιουδήποτε τύπου, οι οποίες λειτουργούν σε </w:t>
            </w:r>
            <w:r w:rsidRPr="008F10CE">
              <w:lastRenderedPageBreak/>
              <w:t>εθνικό, περιφερειακό ή τοπικό επίπεδο.  Αναγνωρίζονται ως εκπρόσωποι που παρέχουν μη-τυπική εκπαίδευση στους πολίτες που είναι εγγεγραμμένοι σε επίσημο μητρώο.</w:t>
            </w:r>
            <w:r w:rsidRPr="008F10CE">
              <w:br/>
            </w:r>
            <w:r w:rsidRPr="008F10CE">
              <w:br/>
              <w:t>Οι φορείς αυτοί είναι οι ακόλουθοι:</w:t>
            </w:r>
          </w:p>
          <w:p w14:paraId="382397BB" w14:textId="77777777" w:rsidR="008F10CE" w:rsidRPr="008F10CE" w:rsidRDefault="008F10CE" w:rsidP="008F10CE">
            <w:pPr>
              <w:numPr>
                <w:ilvl w:val="0"/>
                <w:numId w:val="5"/>
              </w:numPr>
            </w:pPr>
            <w:r w:rsidRPr="008F10CE">
              <w:t>Φορείς παροχής γενικών (τυπικών και μη-τυπικών) υπηρεσιών εκπαίδευσης ενηλίκων, οι οποίοι μπορεί να είναι κοινωνικοί, θρησκευτικοί ή πολιτιστικοί φορείς.</w:t>
            </w:r>
          </w:p>
          <w:p w14:paraId="4880C437" w14:textId="77777777" w:rsidR="008F10CE" w:rsidRPr="008F10CE" w:rsidRDefault="008F10CE" w:rsidP="008F10CE">
            <w:pPr>
              <w:numPr>
                <w:ilvl w:val="0"/>
                <w:numId w:val="5"/>
              </w:numPr>
            </w:pPr>
            <w:r w:rsidRPr="008F10CE">
              <w:t>Φορείς που παρέχουν συμβουλευτικές υπηρεσίες ή/και υπηρεσίες επαγγελματικού προσανατολισμού.</w:t>
            </w:r>
          </w:p>
          <w:p w14:paraId="0EF43F4F" w14:textId="09A26D90" w:rsidR="008F10CE" w:rsidRDefault="008F10CE" w:rsidP="008F10CE">
            <w:pPr>
              <w:numPr>
                <w:ilvl w:val="0"/>
                <w:numId w:val="5"/>
              </w:numPr>
            </w:pPr>
            <w:r w:rsidRPr="008F10CE">
              <w:t>Κέντρα Προώθησης της Απασχόλησης</w:t>
            </w:r>
            <w:r w:rsidRPr="008F10CE">
              <w:rPr>
                <w:b/>
                <w:bCs/>
              </w:rPr>
              <w:t> </w:t>
            </w:r>
            <w:r w:rsidRPr="008F10CE">
              <w:t>(ΚΠΑ), στον βαθμό που παρέχουν υπηρεσίες συμβουλευτικής και επαγγελματικού προσανατολισμού δια βίου</w:t>
            </w:r>
          </w:p>
          <w:p w14:paraId="5A57A07F" w14:textId="77777777" w:rsidR="008F10CE" w:rsidRPr="008F10CE" w:rsidRDefault="008F10CE" w:rsidP="008F10CE">
            <w:pPr>
              <w:numPr>
                <w:ilvl w:val="0"/>
                <w:numId w:val="5"/>
              </w:numPr>
            </w:pPr>
            <w:r w:rsidRPr="008F10CE">
              <w:t>Οι δημόσιοι φορείς του εκτεταμένου δημόσιου τομέα που παρέχουν  μη τυπική εκπαίδευση στο ανθρώπινο δυναμικό του κοινού και στον εκτεταμένο δημόσιο τομέα, όπως το </w:t>
            </w:r>
            <w:hyperlink r:id="rId13" w:tgtFrame="_blank" w:history="1">
              <w:r w:rsidRPr="008F10CE">
                <w:rPr>
                  <w:rStyle w:val="Hipervnculo"/>
                </w:rPr>
                <w:t>Εθνικό Κέντρο Δημόσιας Διοίκησης και Αυτοδιοίκησης</w:t>
              </w:r>
            </w:hyperlink>
            <w:r w:rsidRPr="008F10CE">
              <w:t> (ΕΚΔΔΑ) και άλλες επαγγελματικές ενώσεις και επιμελητήρια, όπως το Ινστιτούτο Μικρές Επιχειρήσεις της Γενικής Συνομοσπονδίας Επαγγελματιών, Βιοτεχνών Εμπόρων Ελλάδας (ΙΜΕ – ΓΣΕΒΕΕ), κ.ά.</w:t>
            </w:r>
          </w:p>
          <w:p w14:paraId="3751DB52" w14:textId="3BAD72A6" w:rsidR="008F10CE" w:rsidRPr="008F10CE" w:rsidRDefault="008F10CE" w:rsidP="008F10CE">
            <w:pPr>
              <w:numPr>
                <w:ilvl w:val="0"/>
                <w:numId w:val="5"/>
              </w:numPr>
            </w:pPr>
            <w:r w:rsidRPr="008F10CE">
              <w:t>Φορείς που δημιουργούνται από τις τριτογενείς επαγγελματικές οργανώσεις των εργαζομένων και εργοδοτών και την τριτογενή ένωση επαγγελματικών οργανώσεων των δημοσίων υπαλλήλων.  Τέτοια όργανα είναι, για παράδειγμα, το Κέντρο Ανάπτυξης Εκπαιδευτικής Πολιτικής της Γενικής Συνομοσπονδίας Εργατών Ελλάδας (ΚΑΝΕΠ – ΓΣΕΕ), κ.ά.</w:t>
            </w:r>
          </w:p>
          <w:p w14:paraId="1A1A4758" w14:textId="77777777" w:rsidR="002618FD" w:rsidRPr="008F10CE" w:rsidRDefault="002618FD"/>
        </w:tc>
      </w:tr>
      <w:tr w:rsidR="006525BC" w14:paraId="1A04EF48" w14:textId="77777777" w:rsidTr="00140225">
        <w:trPr>
          <w:trHeight w:val="49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3C80A" w14:textId="3405B28F" w:rsidR="006525BC" w:rsidRDefault="00FB6167">
            <w:pPr>
              <w:suppressAutoHyphens/>
              <w:spacing w:after="0" w:line="240" w:lineRule="auto"/>
              <w:outlineLvl w:val="0"/>
            </w:pPr>
            <w:r>
              <w:rPr>
                <w:rFonts w:ascii="Helvetica" w:eastAsia="Cambria" w:hAnsi="Helvetica" w:cs="Cambria"/>
                <w:b/>
                <w:bCs/>
                <w:sz w:val="20"/>
                <w:szCs w:val="20"/>
              </w:rPr>
              <w:t>Source</w:t>
            </w:r>
            <w:r w:rsidR="0050059B">
              <w:rPr>
                <w:rFonts w:ascii="Helvetica" w:eastAsia="Cambria" w:hAnsi="Helvetica" w:cs="Cambria"/>
                <w:b/>
                <w:bCs/>
                <w:sz w:val="20"/>
                <w:szCs w:val="20"/>
              </w:rPr>
              <w:t>*</w:t>
            </w:r>
          </w:p>
          <w:p w14:paraId="01FDD08C" w14:textId="77777777" w:rsidR="006525BC" w:rsidRDefault="006525BC">
            <w:pPr>
              <w:suppressAutoHyphens/>
              <w:spacing w:after="0" w:line="240" w:lineRule="auto"/>
              <w:outlineLvl w:val="0"/>
            </w:pP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9E379" w14:textId="77777777" w:rsidR="004E4FCD" w:rsidRPr="004E4FCD" w:rsidRDefault="004E4FCD" w:rsidP="004E4FCD">
            <w:pPr>
              <w:rPr>
                <w:i/>
                <w:iCs/>
              </w:rPr>
            </w:pPr>
            <w:r w:rsidRPr="004E4FCD">
              <w:t xml:space="preserve">EURYDICE (last updated: 23/04/21), </w:t>
            </w:r>
            <w:r w:rsidRPr="004E4FCD">
              <w:rPr>
                <w:i/>
                <w:iCs/>
              </w:rPr>
              <w:t>Elláda -</w:t>
            </w:r>
          </w:p>
          <w:p w14:paraId="01364515" w14:textId="4B588095" w:rsidR="006525BC" w:rsidRDefault="004E4FCD" w:rsidP="004E4FCD">
            <w:r w:rsidRPr="004E4FCD">
              <w:rPr>
                <w:i/>
                <w:iCs/>
              </w:rPr>
              <w:lastRenderedPageBreak/>
              <w:t xml:space="preserve">Κύριοι Πάροχοι, </w:t>
            </w:r>
            <w:r w:rsidRPr="004E4FCD">
              <w:t xml:space="preserve">available at </w:t>
            </w:r>
            <w:hyperlink r:id="rId14" w:history="1">
              <w:r w:rsidRPr="004E4FCD">
                <w:rPr>
                  <w:rStyle w:val="Hipervnculo"/>
                </w:rPr>
                <w:t>https://eacea.ec.europa.eu/national-policies/eurydice/content/main-providers-32_el</w:t>
              </w:r>
            </w:hyperlink>
          </w:p>
        </w:tc>
      </w:tr>
    </w:tbl>
    <w:p w14:paraId="3D189DB1" w14:textId="77777777" w:rsidR="006525BC" w:rsidRDefault="006525BC">
      <w:pPr>
        <w:pStyle w:val="CuerpoA"/>
        <w:widowControl w:val="0"/>
        <w:ind w:left="108" w:hanging="108"/>
        <w:rPr>
          <w:lang w:val="en-US"/>
        </w:rPr>
      </w:pPr>
    </w:p>
    <w:p w14:paraId="60388CB3" w14:textId="0F8B6AC6" w:rsidR="0050059B" w:rsidRDefault="0050059B">
      <w:pPr>
        <w:pStyle w:val="CuerpoA"/>
      </w:pPr>
    </w:p>
    <w:p w14:paraId="1A77DF16" w14:textId="6C7AF013" w:rsidR="00F941C8" w:rsidRDefault="0050059B" w:rsidP="0050059B">
      <w:pPr>
        <w:pStyle w:val="CuerpoA"/>
        <w:rPr>
          <w:lang w:val="en-GB"/>
        </w:rPr>
      </w:pPr>
      <w:r w:rsidRPr="0050059B">
        <w:rPr>
          <w:lang w:val="en-GB"/>
        </w:rPr>
        <w:t>*Source:</w:t>
      </w:r>
      <w:r w:rsidR="00F941C8">
        <w:rPr>
          <w:lang w:val="en-GB"/>
        </w:rPr>
        <w:t xml:space="preserve"> For references, please use APA style </w:t>
      </w:r>
    </w:p>
    <w:p w14:paraId="5E386388" w14:textId="7F53AD56" w:rsidR="0050059B" w:rsidRDefault="00895958" w:rsidP="0050059B">
      <w:pPr>
        <w:pStyle w:val="CuerpoA"/>
        <w:rPr>
          <w:lang w:val="en-GB"/>
        </w:rPr>
      </w:pPr>
      <w:hyperlink r:id="rId15" w:history="1">
        <w:r w:rsidR="00F941C8" w:rsidRPr="00211658">
          <w:rPr>
            <w:rStyle w:val="Hipervnculo"/>
            <w:lang w:val="en-GB"/>
          </w:rPr>
          <w:t>http://www.citethisforme.com/us/citation-generator/apa</w:t>
        </w:r>
      </w:hyperlink>
    </w:p>
    <w:p w14:paraId="1A241ABA" w14:textId="4358E883" w:rsidR="00F941C8" w:rsidRDefault="00F941C8" w:rsidP="0050059B">
      <w:pPr>
        <w:pStyle w:val="CuerpoA"/>
        <w:rPr>
          <w:lang w:val="en-GB"/>
        </w:rPr>
      </w:pPr>
    </w:p>
    <w:p w14:paraId="1CA488ED" w14:textId="55EC1364" w:rsidR="0050059B" w:rsidRDefault="0050059B" w:rsidP="0050059B">
      <w:pPr>
        <w:pStyle w:val="CuerpoA"/>
        <w:rPr>
          <w:lang w:val="en-GB"/>
        </w:rPr>
      </w:pPr>
    </w:p>
    <w:p w14:paraId="3C8C0E1F" w14:textId="7434150B" w:rsidR="00C35040" w:rsidRPr="00C35040" w:rsidRDefault="00C35040" w:rsidP="00C35040">
      <w:pPr>
        <w:tabs>
          <w:tab w:val="left" w:pos="1050"/>
        </w:tabs>
      </w:pPr>
      <w:r w:rsidRPr="00C35040">
        <w:rPr>
          <w:color w:val="244061" w:themeColor="accent1" w:themeShade="80"/>
        </w:rPr>
        <w:t xml:space="preserve"> </w:t>
      </w:r>
    </w:p>
    <w:sectPr w:rsidR="00C35040" w:rsidRPr="00C35040">
      <w:headerReference w:type="even" r:id="rId16"/>
      <w:headerReference w:type="default" r:id="rId17"/>
      <w:footerReference w:type="even" r:id="rId18"/>
      <w:footerReference w:type="default" r:id="rId19"/>
      <w:headerReference w:type="first" r:id="rId20"/>
      <w:footerReference w:type="first" r:id="rId21"/>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9ABDE" w14:textId="77777777" w:rsidR="00895958" w:rsidRDefault="00895958">
      <w:pPr>
        <w:spacing w:after="0" w:line="240" w:lineRule="auto"/>
      </w:pPr>
      <w:r>
        <w:separator/>
      </w:r>
    </w:p>
  </w:endnote>
  <w:endnote w:type="continuationSeparator" w:id="0">
    <w:p w14:paraId="1B7837A3" w14:textId="77777777" w:rsidR="00895958" w:rsidRDefault="0089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77F8" w14:textId="77777777" w:rsidR="00BF533D" w:rsidRDefault="00BF533D" w:rsidP="00FB6167">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63C5" w14:textId="23B79C6B" w:rsidR="00BF533D" w:rsidRPr="00FB6167" w:rsidRDefault="0077314C" w:rsidP="00FB6167">
    <w:pPr>
      <w:spacing w:after="0" w:line="240" w:lineRule="auto"/>
      <w:ind w:left="-142" w:firstLine="284"/>
      <w:jc w:val="right"/>
      <w:rPr>
        <w:rFonts w:ascii="Arial" w:hAnsi="Arial" w:cs="Arial"/>
        <w:sz w:val="16"/>
        <w:szCs w:val="16"/>
      </w:rPr>
    </w:pPr>
    <w:r>
      <w:rPr>
        <w:rStyle w:val="Ninguno"/>
        <w:rFonts w:ascii="Arial" w:hAnsi="Arial" w:cs="Arial"/>
        <w:sz w:val="16"/>
        <w:szCs w:val="16"/>
      </w:rPr>
      <w:t>BUCOLICO</w:t>
    </w:r>
    <w:r w:rsidR="00BF533D" w:rsidRPr="00FB6167">
      <w:rPr>
        <w:rStyle w:val="Ninguno"/>
        <w:rFonts w:ascii="Arial" w:hAnsi="Arial" w:cs="Arial"/>
        <w:sz w:val="16"/>
        <w:szCs w:val="16"/>
      </w:rPr>
      <w:t xml:space="preserve">: </w:t>
    </w:r>
    <w:r w:rsidR="00BF533D" w:rsidRPr="00FB6167">
      <w:rPr>
        <w:rFonts w:ascii="Arial" w:hAnsi="Arial" w:cs="Arial"/>
        <w:sz w:val="16"/>
        <w:szCs w:val="16"/>
      </w:rPr>
      <w:t>Project No. 20</w:t>
    </w:r>
    <w:r>
      <w:rPr>
        <w:rFonts w:ascii="Arial" w:hAnsi="Arial" w:cs="Arial"/>
        <w:sz w:val="16"/>
        <w:szCs w:val="16"/>
      </w:rPr>
      <w:t>20</w:t>
    </w:r>
    <w:r w:rsidR="00BF533D" w:rsidRPr="00FB6167">
      <w:rPr>
        <w:rFonts w:ascii="Arial" w:hAnsi="Arial" w:cs="Arial"/>
        <w:sz w:val="16"/>
        <w:szCs w:val="16"/>
      </w:rPr>
      <w:t>-1-</w:t>
    </w:r>
    <w:r>
      <w:rPr>
        <w:rFonts w:ascii="Arial" w:hAnsi="Arial" w:cs="Arial"/>
        <w:sz w:val="16"/>
        <w:szCs w:val="16"/>
      </w:rPr>
      <w:t>IT02</w:t>
    </w:r>
    <w:r w:rsidR="00BF533D" w:rsidRPr="00FB6167">
      <w:rPr>
        <w:rFonts w:ascii="Arial" w:hAnsi="Arial" w:cs="Arial"/>
        <w:sz w:val="16"/>
        <w:szCs w:val="16"/>
      </w:rPr>
      <w:t>-KA204-</w:t>
    </w:r>
    <w:r>
      <w:rPr>
        <w:rFonts w:ascii="Arial" w:hAnsi="Arial" w:cs="Arial"/>
        <w:sz w:val="16"/>
        <w:szCs w:val="16"/>
      </w:rPr>
      <w:t>079306</w:t>
    </w:r>
  </w:p>
  <w:p w14:paraId="14E0573C" w14:textId="77777777" w:rsidR="00BF533D" w:rsidRDefault="00BF533D">
    <w:pPr>
      <w:tabs>
        <w:tab w:val="center" w:pos="4252"/>
        <w:tab w:val="right" w:pos="8478"/>
      </w:tabs>
      <w:spacing w:after="0" w:line="240" w:lineRule="auto"/>
      <w:rPr>
        <w:rStyle w:val="Ninguno"/>
        <w:rFonts w:ascii="Arial" w:eastAsia="Arial" w:hAnsi="Arial" w:cs="Arial"/>
        <w:sz w:val="16"/>
        <w:szCs w:val="16"/>
      </w:rPr>
    </w:pPr>
  </w:p>
  <w:p w14:paraId="7D7F4407" w14:textId="77777777" w:rsidR="00BF533D" w:rsidRDefault="00BF533D">
    <w:pPr>
      <w:tabs>
        <w:tab w:val="center" w:pos="4252"/>
        <w:tab w:val="right" w:pos="8478"/>
      </w:tabs>
      <w:spacing w:after="0" w:line="240" w:lineRule="auto"/>
      <w:rPr>
        <w:rFonts w:ascii="Corbel" w:eastAsia="Corbel" w:hAnsi="Corbel" w:cs="Corbel"/>
        <w:b/>
        <w:bCs/>
        <w:sz w:val="16"/>
        <w:szCs w:val="16"/>
      </w:rPr>
    </w:pPr>
  </w:p>
  <w:p w14:paraId="1661B955" w14:textId="0BBC2FA0" w:rsidR="00BF533D" w:rsidRPr="005A7809" w:rsidRDefault="00703B1B" w:rsidP="005A7809">
    <w:pPr>
      <w:pStyle w:val="Piedepgina"/>
      <w:jc w:val="center"/>
      <w:rPr>
        <w:rFonts w:ascii="Calibri Light" w:eastAsiaTheme="minorEastAsia" w:hAnsi="Calibri Light" w:cs="Calibri Light"/>
        <w:color w:val="595959" w:themeColor="text1" w:themeTint="A6"/>
        <w:sz w:val="16"/>
        <w:szCs w:val="20"/>
        <w:lang w:val="en-GB"/>
      </w:rPr>
    </w:pPr>
    <w:r>
      <w:rPr>
        <w:rFonts w:ascii="Calibri Light" w:hAnsi="Calibri Light" w:cs="Calibri Light"/>
        <w:color w:val="595959" w:themeColor="text1" w:themeTint="A6"/>
        <w:sz w:val="16"/>
        <w:szCs w:val="20"/>
        <w:lang w:val="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A4ED" w14:textId="77777777" w:rsidR="00703B1B" w:rsidRDefault="00703B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451B2" w14:textId="77777777" w:rsidR="00895958" w:rsidRDefault="00895958">
      <w:pPr>
        <w:spacing w:after="0" w:line="240" w:lineRule="auto"/>
      </w:pPr>
      <w:r>
        <w:separator/>
      </w:r>
    </w:p>
  </w:footnote>
  <w:footnote w:type="continuationSeparator" w:id="0">
    <w:p w14:paraId="74F854B4" w14:textId="77777777" w:rsidR="00895958" w:rsidRDefault="00895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4B4E" w14:textId="77777777" w:rsidR="00703B1B" w:rsidRDefault="00703B1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D71B" w14:textId="407EAB32" w:rsidR="00BF533D" w:rsidRDefault="00BF533D" w:rsidP="00FB6167">
    <w:pPr>
      <w:tabs>
        <w:tab w:val="center" w:pos="4252"/>
        <w:tab w:val="right" w:pos="8478"/>
      </w:tabs>
      <w:spacing w:after="0" w:line="240" w:lineRule="auto"/>
      <w:jc w:val="right"/>
    </w:pPr>
    <w:r>
      <w:rPr>
        <w:noProof/>
        <w:lang w:val="nl-BE" w:eastAsia="nl-BE"/>
      </w:rPr>
      <w:drawing>
        <wp:anchor distT="152400" distB="152400" distL="152400" distR="152400" simplePos="0" relativeHeight="251658240" behindDoc="1" locked="0" layoutInCell="1" allowOverlap="1" wp14:anchorId="60B0A9F6" wp14:editId="567A755B">
          <wp:simplePos x="0" y="0"/>
          <wp:positionH relativeFrom="page">
            <wp:posOffset>5305425</wp:posOffset>
          </wp:positionH>
          <wp:positionV relativeFrom="page">
            <wp:posOffset>247651</wp:posOffset>
          </wp:positionV>
          <wp:extent cx="1781175" cy="552450"/>
          <wp:effectExtent l="0" t="0" r="0" b="0"/>
          <wp:wrapNone/>
          <wp:docPr id="1073741825" name="officeArt object" descr="C:\Users\marija\Desktop\eu_flag_co_funded_pos_[rgb]_right.jpg"/>
          <wp:cNvGraphicFramePr/>
          <a:graphic xmlns:a="http://schemas.openxmlformats.org/drawingml/2006/main">
            <a:graphicData uri="http://schemas.openxmlformats.org/drawingml/2006/picture">
              <pic:pic xmlns:pic="http://schemas.openxmlformats.org/drawingml/2006/picture">
                <pic:nvPicPr>
                  <pic:cNvPr id="1073741825" name="image1.jpg" descr="C:\Users\marija\Desktop\eu_flag_co_funded_pos_[rgb]_right.jpg"/>
                  <pic:cNvPicPr>
                    <a:picLocks noChangeAspect="1"/>
                  </pic:cNvPicPr>
                </pic:nvPicPr>
                <pic:blipFill>
                  <a:blip r:embed="rId1"/>
                  <a:stretch>
                    <a:fillRect/>
                  </a:stretch>
                </pic:blipFill>
                <pic:spPr>
                  <a:xfrm>
                    <a:off x="0" y="0"/>
                    <a:ext cx="1781175" cy="55245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72D3" w14:textId="77777777" w:rsidR="00703B1B" w:rsidRDefault="00703B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0FB"/>
    <w:multiLevelType w:val="multilevel"/>
    <w:tmpl w:val="B39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5147D"/>
    <w:multiLevelType w:val="multilevel"/>
    <w:tmpl w:val="7980C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FB7063"/>
    <w:multiLevelType w:val="multilevel"/>
    <w:tmpl w:val="9D5C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B3652"/>
    <w:multiLevelType w:val="hybridMultilevel"/>
    <w:tmpl w:val="554A88FA"/>
    <w:lvl w:ilvl="0" w:tplc="B3A67B4A">
      <w:start w:val="3"/>
      <w:numFmt w:val="bullet"/>
      <w:lvlText w:val=""/>
      <w:lvlJc w:val="left"/>
      <w:pPr>
        <w:ind w:left="1170" w:hanging="360"/>
      </w:pPr>
      <w:rPr>
        <w:rFonts w:ascii="Symbol" w:eastAsia="Helvetica" w:hAnsi="Symbol" w:cs="Helvetica" w:hint="default"/>
      </w:rPr>
    </w:lvl>
    <w:lvl w:ilvl="1" w:tplc="0C0A0003" w:tentative="1">
      <w:start w:val="1"/>
      <w:numFmt w:val="bullet"/>
      <w:lvlText w:val="o"/>
      <w:lvlJc w:val="left"/>
      <w:pPr>
        <w:ind w:left="1890" w:hanging="360"/>
      </w:pPr>
      <w:rPr>
        <w:rFonts w:ascii="Courier New" w:hAnsi="Courier New" w:cs="Courier New" w:hint="default"/>
      </w:rPr>
    </w:lvl>
    <w:lvl w:ilvl="2" w:tplc="0C0A0005" w:tentative="1">
      <w:start w:val="1"/>
      <w:numFmt w:val="bullet"/>
      <w:lvlText w:val=""/>
      <w:lvlJc w:val="left"/>
      <w:pPr>
        <w:ind w:left="2610" w:hanging="360"/>
      </w:pPr>
      <w:rPr>
        <w:rFonts w:ascii="Wingdings" w:hAnsi="Wingdings" w:hint="default"/>
      </w:rPr>
    </w:lvl>
    <w:lvl w:ilvl="3" w:tplc="0C0A0001" w:tentative="1">
      <w:start w:val="1"/>
      <w:numFmt w:val="bullet"/>
      <w:lvlText w:val=""/>
      <w:lvlJc w:val="left"/>
      <w:pPr>
        <w:ind w:left="3330" w:hanging="360"/>
      </w:pPr>
      <w:rPr>
        <w:rFonts w:ascii="Symbol" w:hAnsi="Symbol" w:hint="default"/>
      </w:rPr>
    </w:lvl>
    <w:lvl w:ilvl="4" w:tplc="0C0A0003" w:tentative="1">
      <w:start w:val="1"/>
      <w:numFmt w:val="bullet"/>
      <w:lvlText w:val="o"/>
      <w:lvlJc w:val="left"/>
      <w:pPr>
        <w:ind w:left="4050" w:hanging="360"/>
      </w:pPr>
      <w:rPr>
        <w:rFonts w:ascii="Courier New" w:hAnsi="Courier New" w:cs="Courier New" w:hint="default"/>
      </w:rPr>
    </w:lvl>
    <w:lvl w:ilvl="5" w:tplc="0C0A0005" w:tentative="1">
      <w:start w:val="1"/>
      <w:numFmt w:val="bullet"/>
      <w:lvlText w:val=""/>
      <w:lvlJc w:val="left"/>
      <w:pPr>
        <w:ind w:left="4770" w:hanging="360"/>
      </w:pPr>
      <w:rPr>
        <w:rFonts w:ascii="Wingdings" w:hAnsi="Wingdings" w:hint="default"/>
      </w:rPr>
    </w:lvl>
    <w:lvl w:ilvl="6" w:tplc="0C0A0001" w:tentative="1">
      <w:start w:val="1"/>
      <w:numFmt w:val="bullet"/>
      <w:lvlText w:val=""/>
      <w:lvlJc w:val="left"/>
      <w:pPr>
        <w:ind w:left="5490" w:hanging="360"/>
      </w:pPr>
      <w:rPr>
        <w:rFonts w:ascii="Symbol" w:hAnsi="Symbol" w:hint="default"/>
      </w:rPr>
    </w:lvl>
    <w:lvl w:ilvl="7" w:tplc="0C0A0003" w:tentative="1">
      <w:start w:val="1"/>
      <w:numFmt w:val="bullet"/>
      <w:lvlText w:val="o"/>
      <w:lvlJc w:val="left"/>
      <w:pPr>
        <w:ind w:left="6210" w:hanging="360"/>
      </w:pPr>
      <w:rPr>
        <w:rFonts w:ascii="Courier New" w:hAnsi="Courier New" w:cs="Courier New" w:hint="default"/>
      </w:rPr>
    </w:lvl>
    <w:lvl w:ilvl="8" w:tplc="0C0A0005" w:tentative="1">
      <w:start w:val="1"/>
      <w:numFmt w:val="bullet"/>
      <w:lvlText w:val=""/>
      <w:lvlJc w:val="left"/>
      <w:pPr>
        <w:ind w:left="6930" w:hanging="360"/>
      </w:pPr>
      <w:rPr>
        <w:rFonts w:ascii="Wingdings" w:hAnsi="Wingdings" w:hint="default"/>
      </w:rPr>
    </w:lvl>
  </w:abstractNum>
  <w:abstractNum w:abstractNumId="4" w15:restartNumberingAfterBreak="0">
    <w:nsid w:val="31E14007"/>
    <w:multiLevelType w:val="hybridMultilevel"/>
    <w:tmpl w:val="235AA86E"/>
    <w:lvl w:ilvl="0" w:tplc="B3A67B4A">
      <w:start w:val="3"/>
      <w:numFmt w:val="bullet"/>
      <w:lvlText w:val=""/>
      <w:lvlJc w:val="left"/>
      <w:pPr>
        <w:ind w:left="720" w:hanging="360"/>
      </w:pPr>
      <w:rPr>
        <w:rFonts w:ascii="Symbol" w:eastAsia="Helvetica" w:hAnsi="Symbol"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47C3176"/>
    <w:multiLevelType w:val="hybridMultilevel"/>
    <w:tmpl w:val="339AF5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750327A"/>
    <w:multiLevelType w:val="multilevel"/>
    <w:tmpl w:val="48C2C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DB25C5"/>
    <w:multiLevelType w:val="multilevel"/>
    <w:tmpl w:val="590A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7"/>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BC"/>
    <w:rsid w:val="000052C5"/>
    <w:rsid w:val="000F3758"/>
    <w:rsid w:val="001230B4"/>
    <w:rsid w:val="00140225"/>
    <w:rsid w:val="001B525D"/>
    <w:rsid w:val="00212FCF"/>
    <w:rsid w:val="002618FD"/>
    <w:rsid w:val="00266888"/>
    <w:rsid w:val="003449BF"/>
    <w:rsid w:val="00364A6B"/>
    <w:rsid w:val="0040404F"/>
    <w:rsid w:val="004C7D03"/>
    <w:rsid w:val="004E4FCD"/>
    <w:rsid w:val="0050059B"/>
    <w:rsid w:val="00573C2C"/>
    <w:rsid w:val="005A7809"/>
    <w:rsid w:val="006425AF"/>
    <w:rsid w:val="006525BC"/>
    <w:rsid w:val="00672F56"/>
    <w:rsid w:val="00703B1B"/>
    <w:rsid w:val="00707DE3"/>
    <w:rsid w:val="00717454"/>
    <w:rsid w:val="00725AFF"/>
    <w:rsid w:val="0077314C"/>
    <w:rsid w:val="007B0967"/>
    <w:rsid w:val="007B38C3"/>
    <w:rsid w:val="00814FA6"/>
    <w:rsid w:val="0084292B"/>
    <w:rsid w:val="00882DA7"/>
    <w:rsid w:val="00895958"/>
    <w:rsid w:val="008F10CE"/>
    <w:rsid w:val="009119F7"/>
    <w:rsid w:val="00BF533D"/>
    <w:rsid w:val="00C35040"/>
    <w:rsid w:val="00CD355B"/>
    <w:rsid w:val="00D1402C"/>
    <w:rsid w:val="00D415A6"/>
    <w:rsid w:val="00DA3EDC"/>
    <w:rsid w:val="00E46329"/>
    <w:rsid w:val="00E7027A"/>
    <w:rsid w:val="00E70C52"/>
    <w:rsid w:val="00EA5A1A"/>
    <w:rsid w:val="00F306C2"/>
    <w:rsid w:val="00F941C8"/>
    <w:rsid w:val="00FB616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11E14"/>
  <w15:docId w15:val="{F74F9031-D6A9-4B91-A9AB-9369219D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character" w:customStyle="1" w:styleId="Ninguno">
    <w:name w:val="Ninguno"/>
  </w:style>
  <w:style w:type="character" w:customStyle="1" w:styleId="Hyperlink0">
    <w:name w:val="Hyperlink.0"/>
    <w:basedOn w:val="Ninguno"/>
    <w:rPr>
      <w:rFonts w:ascii="Arial" w:hAnsi="Arial"/>
      <w:color w:val="0563C1"/>
      <w:sz w:val="16"/>
      <w:szCs w:val="16"/>
      <w:u w:val="single" w:color="0563C1"/>
    </w:rPr>
  </w:style>
  <w:style w:type="paragraph" w:customStyle="1" w:styleId="CuerpoA">
    <w:name w:val="Cuerpo A"/>
    <w:rPr>
      <w:rFonts w:ascii="Helvetica" w:eastAsia="Helvetica" w:hAnsi="Helvetica" w:cs="Helvetica"/>
      <w:color w:val="000000"/>
      <w:sz w:val="22"/>
      <w:szCs w:val="22"/>
      <w:u w:color="000000"/>
      <w:lang w:val="es-ES_tradnl"/>
    </w:rPr>
  </w:style>
  <w:style w:type="paragraph" w:customStyle="1" w:styleId="PoromisinA">
    <w:name w:val="Por omisión A"/>
    <w:rPr>
      <w:rFonts w:ascii="Helvetica" w:hAnsi="Helvetica" w:cs="Arial Unicode MS"/>
      <w:color w:val="000000"/>
      <w:sz w:val="22"/>
      <w:szCs w:val="22"/>
      <w:u w:color="000000"/>
      <w:lang w:val="en-US"/>
    </w:rPr>
  </w:style>
  <w:style w:type="character" w:customStyle="1" w:styleId="NingunoA">
    <w:name w:val="Ninguno A"/>
    <w:basedOn w:val="Ninguno"/>
    <w:rPr>
      <w:lang w:val="es-ES_tradnl"/>
    </w:rPr>
  </w:style>
  <w:style w:type="paragraph" w:customStyle="1" w:styleId="Cuerpo">
    <w:name w:val="Cuerpo"/>
    <w:pPr>
      <w:spacing w:after="160" w:line="259" w:lineRule="auto"/>
    </w:pPr>
    <w:rPr>
      <w:rFonts w:ascii="Calibri" w:eastAsia="Calibri" w:hAnsi="Calibri" w:cs="Calibri"/>
      <w:color w:val="000000"/>
      <w:sz w:val="22"/>
      <w:szCs w:val="22"/>
      <w:u w:color="000000"/>
      <w:lang w:val="en-US"/>
    </w:rPr>
  </w:style>
  <w:style w:type="paragraph" w:styleId="Encabezado">
    <w:name w:val="header"/>
    <w:basedOn w:val="Normal"/>
    <w:link w:val="EncabezadoCar"/>
    <w:uiPriority w:val="99"/>
    <w:unhideWhenUsed/>
    <w:rsid w:val="00CD35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355B"/>
    <w:rPr>
      <w:rFonts w:ascii="Calibri" w:eastAsia="Calibri" w:hAnsi="Calibri" w:cs="Calibri"/>
      <w:color w:val="000000"/>
      <w:sz w:val="22"/>
      <w:szCs w:val="22"/>
      <w:u w:color="000000"/>
      <w:lang w:val="en-US"/>
    </w:rPr>
  </w:style>
  <w:style w:type="paragraph" w:styleId="Piedepgina">
    <w:name w:val="footer"/>
    <w:basedOn w:val="Normal"/>
    <w:link w:val="PiedepginaCar"/>
    <w:uiPriority w:val="99"/>
    <w:unhideWhenUsed/>
    <w:rsid w:val="00CD35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355B"/>
    <w:rPr>
      <w:rFonts w:ascii="Calibri" w:eastAsia="Calibri" w:hAnsi="Calibri" w:cs="Calibri"/>
      <w:color w:val="000000"/>
      <w:sz w:val="22"/>
      <w:szCs w:val="22"/>
      <w:u w:color="000000"/>
      <w:lang w:val="en-US"/>
    </w:rPr>
  </w:style>
  <w:style w:type="paragraph" w:styleId="Prrafodelista">
    <w:name w:val="List Paragraph"/>
    <w:basedOn w:val="Normal"/>
    <w:uiPriority w:val="34"/>
    <w:qFormat/>
    <w:rsid w:val="0050059B"/>
    <w:pPr>
      <w:ind w:left="720"/>
      <w:contextualSpacing/>
    </w:pPr>
  </w:style>
  <w:style w:type="character" w:customStyle="1" w:styleId="Mencinsinresolver1">
    <w:name w:val="Mención sin resolver1"/>
    <w:basedOn w:val="Fuentedeprrafopredeter"/>
    <w:uiPriority w:val="99"/>
    <w:semiHidden/>
    <w:unhideWhenUsed/>
    <w:rsid w:val="008F10CE"/>
    <w:rPr>
      <w:color w:val="605E5C"/>
      <w:shd w:val="clear" w:color="auto" w:fill="E1DFDD"/>
    </w:rPr>
  </w:style>
  <w:style w:type="table" w:styleId="Tablaconcuadrcula">
    <w:name w:val="Table Grid"/>
    <w:basedOn w:val="Tablanormal"/>
    <w:uiPriority w:val="59"/>
    <w:rsid w:val="00703B1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cs-CZ"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3960">
      <w:bodyDiv w:val="1"/>
      <w:marLeft w:val="0"/>
      <w:marRight w:val="0"/>
      <w:marTop w:val="0"/>
      <w:marBottom w:val="0"/>
      <w:divBdr>
        <w:top w:val="none" w:sz="0" w:space="0" w:color="auto"/>
        <w:left w:val="none" w:sz="0" w:space="0" w:color="auto"/>
        <w:bottom w:val="none" w:sz="0" w:space="0" w:color="auto"/>
        <w:right w:val="none" w:sz="0" w:space="0" w:color="auto"/>
      </w:divBdr>
    </w:div>
    <w:div w:id="530538423">
      <w:bodyDiv w:val="1"/>
      <w:marLeft w:val="0"/>
      <w:marRight w:val="0"/>
      <w:marTop w:val="0"/>
      <w:marBottom w:val="0"/>
      <w:divBdr>
        <w:top w:val="none" w:sz="0" w:space="0" w:color="auto"/>
        <w:left w:val="none" w:sz="0" w:space="0" w:color="auto"/>
        <w:bottom w:val="none" w:sz="0" w:space="0" w:color="auto"/>
        <w:right w:val="none" w:sz="0" w:space="0" w:color="auto"/>
      </w:divBdr>
    </w:div>
    <w:div w:id="1066873541">
      <w:bodyDiv w:val="1"/>
      <w:marLeft w:val="0"/>
      <w:marRight w:val="0"/>
      <w:marTop w:val="0"/>
      <w:marBottom w:val="0"/>
      <w:divBdr>
        <w:top w:val="none" w:sz="0" w:space="0" w:color="auto"/>
        <w:left w:val="none" w:sz="0" w:space="0" w:color="auto"/>
        <w:bottom w:val="none" w:sz="0" w:space="0" w:color="auto"/>
        <w:right w:val="none" w:sz="0" w:space="0" w:color="auto"/>
      </w:divBdr>
    </w:div>
    <w:div w:id="1249389325">
      <w:bodyDiv w:val="1"/>
      <w:marLeft w:val="0"/>
      <w:marRight w:val="0"/>
      <w:marTop w:val="0"/>
      <w:marBottom w:val="0"/>
      <w:divBdr>
        <w:top w:val="none" w:sz="0" w:space="0" w:color="auto"/>
        <w:left w:val="none" w:sz="0" w:space="0" w:color="auto"/>
        <w:bottom w:val="none" w:sz="0" w:space="0" w:color="auto"/>
        <w:right w:val="none" w:sz="0" w:space="0" w:color="auto"/>
      </w:divBdr>
    </w:div>
    <w:div w:id="1256012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gr/idocs-nph/search/pdfViewerForm.html?args=5C7QrtC22wHUdWr4xouZundtvSoClrL8goX2c34K7tJ5MXD0LzQTLWPU9yLzB8V68knBzLCmTXKaO6fpVZ6Lx3UnKl3nP8NxdnJ5r9cmWyJWelDvWS_18kAEhATUkJb0x1LIdQ163nV9K--td6SIuQolKC15UWtF7_bt00e9XOKpB6w0y8rsCXCkyfK1zLBM" TargetMode="External"/><Relationship Id="rId13" Type="http://schemas.openxmlformats.org/officeDocument/2006/relationships/hyperlink" Target="https://www.ekdd.g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et.gr/idocs-nph/search/pdfViewerForm.html?args=5C7QrtC22wGYK2xFpSwMnXdtvSoClrL8Tq6rbLkT5HR5MXD0LzQTLWPU9yLzB8V68knBzLCmTXKaO6fpVZ6Lx3UnKl3nP8NxdnJ5r9cmWyJWelDvWS_18kAEhATUkJb0x1LIdQ163nV9K--td6SIuRDxt-dHnOBivr1Vndfv6IFYYBlj8kdvKwU3zTRry-ga" TargetMode="External"/><Relationship Id="rId12" Type="http://schemas.openxmlformats.org/officeDocument/2006/relationships/hyperlink" Target="https://eacea.ec.europa.eu/national-policies/eurydice/content/main-providers-32_e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oppep.gr/index.php/el/" TargetMode="External"/><Relationship Id="rId5" Type="http://schemas.openxmlformats.org/officeDocument/2006/relationships/footnotes" Target="footnotes.xml"/><Relationship Id="rId15" Type="http://schemas.openxmlformats.org/officeDocument/2006/relationships/hyperlink" Target="http://www.citethisforme.com/us/citation-generator/apa" TargetMode="External"/><Relationship Id="rId23" Type="http://schemas.openxmlformats.org/officeDocument/2006/relationships/theme" Target="theme/theme1.xml"/><Relationship Id="rId10" Type="http://schemas.openxmlformats.org/officeDocument/2006/relationships/hyperlink" Target="https://www.inedivim.g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diaviou.minedu.gov.gr/" TargetMode="External"/><Relationship Id="rId14" Type="http://schemas.openxmlformats.org/officeDocument/2006/relationships/hyperlink" Target="https://eacea.ec.europa.eu/national-policies/eurydice/content/main-providers-32_e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1974</Words>
  <Characters>10860</Characters>
  <Application>Microsoft Office Word</Application>
  <DocSecurity>0</DocSecurity>
  <Lines>90</Lines>
  <Paragraphs>25</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Isabel Herranz</dc:creator>
  <cp:lastModifiedBy>dani gm</cp:lastModifiedBy>
  <cp:revision>7</cp:revision>
  <dcterms:created xsi:type="dcterms:W3CDTF">2021-05-30T11:12:00Z</dcterms:created>
  <dcterms:modified xsi:type="dcterms:W3CDTF">2024-02-26T15:34:00Z</dcterms:modified>
</cp:coreProperties>
</file>